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973d1_6k.htm"/>
      <w:bookmarkStart w:id="1" w:name="kstm262397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001-35942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LightInTheBox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Pandan Crescent #03-03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(128475)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3973d1_ex99-1.htm">
        <w:r>
          <w:rPr>
            <w:rStyle w:val="InternetLink"/>
            <w:rFonts w:ascii="Times New Roman;Times;Serif" w:hAnsi="Times New Roman;Times;Serif"/>
            <w:b w:val="false"/>
            <w:i w:val="false"/>
            <w:caps w:val="false"/>
            <w:smallCaps w:val="false"/>
            <w:sz w:val="20"/>
          </w:rPr>
          <w:t>Exhibit 99.1 – LightInTheBox Reports Second Quarter 2026 Financial Results</w:t>
        </w:r>
      </w:hyperlink>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LIGHTINTHEBOX HOLDING CO., LTD.</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 He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 He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3973d1_ex99-1.htm"/>
      <w:bookmarkStart w:id="3" w:name="kstm2623973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LightInTheBox Reports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26, 2026 /PRNewswire/ -- LightInTheBox Holding Co., Ltd. (NYSE: LITB) (“LightInTheBox” or the “Company”), a global consumer lifestyle company,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Revenues</w:t>
            </w:r>
            <w:r>
              <w:rPr>
                <w:rFonts w:ascii="Times New Roman;Times;Serif" w:hAnsi="Times New Roman;Times;Serif"/>
              </w:rPr>
              <w:t xml:space="preserve"> were $56.8 million, a modest 4% decrease year over year, as the company optimized its product mix through phasing out long-tail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8"/>
        <w:gridCol w:w="10033"/>
      </w:tblGrid>
      <w:tr>
        <w:trPr/>
        <w:tc>
          <w:tcPr>
            <w:tcW w:w="4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Gross Profit</w:t>
            </w:r>
            <w:r>
              <w:rPr>
                <w:rFonts w:ascii="Times New Roman;Times;Serif" w:hAnsi="Times New Roman;Times;Serif"/>
              </w:rPr>
              <w:t xml:space="preserve"> was $37.6 million, compared with $38.8 million in the same quarter last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3"/>
        <w:gridCol w:w="10053"/>
      </w:tblGrid>
      <w:tr>
        <w:trPr/>
        <w:tc>
          <w:tcPr>
            <w:tcW w:w="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Gross Margin</w:t>
            </w:r>
            <w:r>
              <w:rPr>
                <w:rFonts w:ascii="Times New Roman;Times;Serif" w:hAnsi="Times New Roman;Times;Serif"/>
              </w:rPr>
              <w:t xml:space="preserve"> was 66.1%, compared with 65.9% in the same quarter last year, which remained stable.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6"/>
        <w:gridCol w:w="10049"/>
      </w:tblGrid>
      <w:tr>
        <w:trPr/>
        <w:tc>
          <w:tcPr>
            <w:tcW w:w="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Operating Expenses</w:t>
            </w:r>
            <w:r>
              <w:rPr>
                <w:rFonts w:ascii="Times New Roman;Times;Serif" w:hAnsi="Times New Roman;Times;Serif"/>
              </w:rPr>
              <w:t xml:space="preserve"> were $35.5 million, compared with $36.9 million in the same quarter last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07"/>
        <w:gridCol w:w="9942"/>
      </w:tblGrid>
      <w:tr>
        <w:trPr/>
        <w:tc>
          <w:tcPr>
            <w:tcW w:w="5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o</w:t>
            </w:r>
          </w:p>
        </w:tc>
        <w:tc>
          <w:tcPr>
            <w:tcW w:w="9942" w:type="dxa"/>
            <w:tcBorders/>
            <w:vAlign w:val="center"/>
          </w:tcPr>
          <w:p>
            <w:pPr>
              <w:pStyle w:val="TableContents"/>
              <w:bidi w:val="0"/>
              <w:spacing w:before="0" w:after="283"/>
              <w:jc w:val="both"/>
              <w:rPr/>
            </w:pPr>
            <w:r>
              <w:rPr>
                <w:b/>
              </w:rPr>
              <w:t>Fulfillment Expenses</w:t>
            </w:r>
            <w:r>
              <w:rPr/>
              <w:t xml:space="preserve"> decreased by 3% year over year to $4.2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74"/>
        <w:gridCol w:w="9984"/>
      </w:tblGrid>
      <w:tr>
        <w:trPr/>
        <w:tc>
          <w:tcPr>
            <w:tcW w:w="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o</w:t>
            </w:r>
          </w:p>
        </w:tc>
        <w:tc>
          <w:tcPr>
            <w:tcW w:w="9984" w:type="dxa"/>
            <w:tcBorders/>
            <w:vAlign w:val="center"/>
          </w:tcPr>
          <w:p>
            <w:pPr>
              <w:pStyle w:val="TableContents"/>
              <w:bidi w:val="0"/>
              <w:spacing w:before="0" w:after="283"/>
              <w:jc w:val="both"/>
              <w:rPr/>
            </w:pPr>
            <w:r>
              <w:rPr>
                <w:b/>
              </w:rPr>
              <w:t>Selling and Marketing Expenses</w:t>
            </w:r>
            <w:r>
              <w:rPr/>
              <w:t xml:space="preserve"> decreased by 4% year over year to $26.7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b/>
              </w:rPr>
              <w:t>General and Administrative Expenses</w:t>
            </w:r>
            <w:r>
              <w:rPr/>
              <w:t xml:space="preserve"> decreased by 5% year over year to $4.6 million, of which Research and Development expenses were $2.3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Net Income</w:t>
            </w:r>
            <w:r>
              <w:rPr>
                <w:rFonts w:ascii="Times New Roman;Times;Serif" w:hAnsi="Times New Roman;Times;Serif"/>
              </w:rPr>
              <w:t xml:space="preserve"> reached $1.6 million, compared with $2.0 million in the same quarter last year, marking sustained profitability amidst industry challenges.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2"/>
        <w:gridCol w:w="10042"/>
      </w:tblGrid>
      <w:tr>
        <w:trPr/>
        <w:tc>
          <w:tcPr>
            <w:tcW w:w="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Adjusted EBITDA</w:t>
            </w:r>
            <w:r>
              <w:rPr>
                <w:rFonts w:ascii="Times New Roman;Times;Serif" w:hAnsi="Times New Roman;Times;Serif"/>
              </w:rPr>
              <w:t xml:space="preserve"> was $1.9 million, compared with $2.3 million in the same quarter last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70"/>
        <w:gridCol w:w="9977"/>
      </w:tblGrid>
      <w:tr>
        <w:trPr/>
        <w:tc>
          <w:tcPr>
            <w:tcW w:w="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Revenues</w:t>
            </w:r>
            <w:r>
              <w:rPr>
                <w:rFonts w:ascii="Times New Roman;Times;Serif" w:hAnsi="Times New Roman;Times;Serif"/>
              </w:rPr>
              <w:t xml:space="preserve"> were $108.8 million, a 3% increase year over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9"/>
        <w:gridCol w:w="10032"/>
      </w:tblGrid>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Gross Profit</w:t>
            </w:r>
            <w:r>
              <w:rPr>
                <w:rFonts w:ascii="Times New Roman;Times;Serif" w:hAnsi="Times New Roman;Times;Serif"/>
              </w:rPr>
              <w:t xml:space="preserve"> was $71.4 million, compared with $69.4 million in the same period last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42"/>
        <w:gridCol w:w="10015"/>
      </w:tblGrid>
      <w:tr>
        <w:trPr/>
        <w:tc>
          <w:tcPr>
            <w:tcW w:w="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Gross Margin</w:t>
            </w:r>
            <w:r>
              <w:rPr>
                <w:rFonts w:ascii="Times New Roman;Times;Serif" w:hAnsi="Times New Roman;Times;Serif"/>
              </w:rPr>
              <w:t xml:space="preserve"> was 65.6% compared with 65.6% in 2025, which remained stable.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3"/>
        <w:gridCol w:w="9986"/>
      </w:tblGrid>
      <w:tr>
        <w:trPr/>
        <w:tc>
          <w:tcPr>
            <w:tcW w:w="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Operating Expenses</w:t>
            </w:r>
            <w:r>
              <w:rPr>
                <w:rFonts w:ascii="Times New Roman;Times;Serif" w:hAnsi="Times New Roman;Times;Serif"/>
              </w:rPr>
              <w:t xml:space="preserve"> increased by 1% year over year to $68.2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08"/>
        <w:gridCol w:w="9941"/>
      </w:tblGrid>
      <w:tr>
        <w:trPr/>
        <w:tc>
          <w:tcPr>
            <w:tcW w:w="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o</w:t>
            </w:r>
          </w:p>
        </w:tc>
        <w:tc>
          <w:tcPr>
            <w:tcW w:w="9941" w:type="dxa"/>
            <w:tcBorders/>
            <w:vAlign w:val="center"/>
          </w:tcPr>
          <w:p>
            <w:pPr>
              <w:pStyle w:val="TableContents"/>
              <w:bidi w:val="0"/>
              <w:spacing w:before="0" w:after="283"/>
              <w:jc w:val="both"/>
              <w:rPr/>
            </w:pPr>
            <w:r>
              <w:rPr>
                <w:b/>
              </w:rPr>
              <w:t>Fulfillment Expenses</w:t>
            </w:r>
            <w:r>
              <w:rPr/>
              <w:t xml:space="preserve"> increased by 1% year over year to $8.3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76"/>
        <w:gridCol w:w="9982"/>
      </w:tblGrid>
      <w:tr>
        <w:trPr/>
        <w:tc>
          <w:tcPr>
            <w:tcW w:w="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o</w:t>
            </w:r>
          </w:p>
        </w:tc>
        <w:tc>
          <w:tcPr>
            <w:tcW w:w="9982" w:type="dxa"/>
            <w:tcBorders/>
            <w:vAlign w:val="center"/>
          </w:tcPr>
          <w:p>
            <w:pPr>
              <w:pStyle w:val="TableContents"/>
              <w:bidi w:val="0"/>
              <w:spacing w:before="0" w:after="283"/>
              <w:jc w:val="both"/>
              <w:rPr/>
            </w:pPr>
            <w:r>
              <w:rPr>
                <w:b/>
              </w:rPr>
              <w:t>Selling and Marketing Expenses</w:t>
            </w:r>
            <w:r>
              <w:rPr/>
              <w:t xml:space="preserve"> increased by 3% year over year to $51.3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b/>
              </w:rPr>
              <w:t>General and Administrative Expenses</w:t>
            </w:r>
            <w:r>
              <w:rPr/>
              <w:t xml:space="preserve"> decreased by 10% year over year to $8.8 million, of which Research and Development expenses were $4.6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Net Income</w:t>
            </w:r>
            <w:r>
              <w:rPr>
                <w:rFonts w:ascii="Times New Roman;Times;Serif" w:hAnsi="Times New Roman;Times;Serif"/>
              </w:rPr>
              <w:t xml:space="preserve"> reached $2.7 million, compared with $2.1 million in 2025, showcasing sustainable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Adjusted EBITDA</w:t>
            </w:r>
            <w:r>
              <w:rPr>
                <w:rFonts w:ascii="Times New Roman;Times;Serif" w:hAnsi="Times New Roman;Times;Serif"/>
              </w:rPr>
              <w:t xml:space="preserve"> was $3.3 million, compared with $3.0 million in the same period last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 He, Chairman and CEO of LightInTheBox, commented, “In the second quarter, we continued to execute with discipline amid geopolitical disruptions, higher logistics costs and foreign exchange headwinds. Revenue decreased modestly as we deliberately phased out some long-tail products, while gross margin remained stable at 66%. Through disciplined expense management, we remained profitable, generating net income of $1.6 million and Adjusted EBITDA of $1.9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4"/>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first-half results provide a clearer indication of the progress we are making. Revenue increased by 3% year over year to $108.8 million, net income grew by approximately 28% to $2.7 million, and Adjusted EBITDA improved by $0.4 million year over year to $3.3 million. This performance demonstrates the increasing resilience and efficiency of our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4"/>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August 10, 2026, we announced the closing of a private placement financing that raised approximately $5.49 million in gross proceeds. The proceeds will support and accelerate the Company’s strategic transformation to strengthen its competitiveness in the AI 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4"/>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While the external environment remains uncertain, we are encouraged by the progress achieved during the first half of the year. We are also pleased to have successfully completed our private placement, which supports the execution of our strategic priorities and better positions the Company for the AI era.” Mr. He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Company’s board of directors authorized a share repurchase program under which the Company may repurchase up to $0.7 million of its ordinary shares in the form of ADSs no later than June 30, 2025. The Company has since extended the share repurchase program through December 31, 2025, then further to June 30, 2026, and then to December 31, 2026, with total repurchase amount up to $3.0 million. As of August 21, 2026, the Company has repurchased 657,305 ADSs with a total aggregate value of approximately $1.5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CFO Transition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pleased to announce the appointment of Ms. Wenyu Liu (Wendy) as Chief Financial Officer, effective on August 21, 2026, succeeding Mr. Suhai Ji, who resigned for personal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Company, I would like to extend our special thanks to Suhai for his valuable contribution over his tenure and wish him all the best in his future endeavors.” said Mr. Jian He, Chairman and CEO of LightInTheBox.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Wendy has served as LightInTheBox’s Chief Growth Officer since August 2020. Prior to joining LightInTheBox, Wendy was a co-founder of Ezbuy, a Singapore-based leading cross-border e-commerce platform founded in 2010 and acquired by LightInTheBox in 2018. Ms. Liu concurrently leads its Singapore team as Chief Executive Officer. Ms. Liu has been working in the e-commerce sector since she was in university where she has developed a deep understanding and appreciation for the convenience and savings consumers enjoy from online shopping. Ms. Liu has spearheaded the development of technology to reduce the reliance on heavy upfront investments and improve corporate flexibility to operate anywhere and at any time. Ms. Liu holds a first-class honor degree in Electrical &amp; Electronics Engineering with a minor in Business from the Nanyang Technological University of Singapore and a Master’s Degree in Industrial &amp; Systems Engineering from the National University of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hold an earnings conference call to discuss the results at 8:00 a.m. Eastern Time August 26, 2026 (8:00 p.m. Hong Kong/Singapore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Preregistration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can register for the conference call by going to </w:t>
      </w:r>
      <w:r>
        <w:rPr>
          <w:rFonts w:ascii="Times New Roman;Times;Serif" w:hAnsi="Times New Roman;Times;Serif"/>
          <w:b w:val="false"/>
          <w:i w:val="false"/>
          <w:caps w:val="false"/>
          <w:smallCaps w:val="false"/>
          <w:sz w:val="20"/>
          <w:u w:val="single"/>
        </w:rPr>
        <w:t>https://s1.c-conf.com/diamondpass/10056871-fngk6z.html</w:t>
      </w:r>
      <w:r>
        <w:rPr>
          <w:rFonts w:ascii="Times New Roman;Times;Serif" w:hAnsi="Times New Roman;Times;Serif"/>
          <w:b w:val="false"/>
          <w:i w:val="false"/>
          <w:caps w:val="false"/>
          <w:smallCaps w:val="false"/>
          <w:sz w:val="20"/>
        </w:rPr>
        <w:t>. Upon registration, participants will receive dial-in numbers, an event passcode, and a unique access PIN.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join the conference, simply dial the number in the calendar invite you receive after preregistering, enter the event passcode followed by your unique access PIN, and you will be connected to the conference instantly.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will be available two hours after the conclusion of the conference call through September 2, 2026. The dial-in details are:</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655"/>
        <w:gridCol w:w="1475"/>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US/Canada: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+1-855-883-1031</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800-101-3223</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China: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800-930-639</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Replay PIN: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10056871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https://ir.ador.com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LightInTheBox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2007, LightInTheBox is a global direct-to-consumer (DTC) e-commerce company dedicated to delivering a joyful lifestyle to consumers worldwide. Leveraging AI-driven market insights and agile supply chain systems, it aims to capture consumer preferences and sentiment to offer differentiated products, driving consumer engagement through deep emotional resonance. LightInTheBox also adopts a brand matrix strategy by launching its own apparel brands such as Ador to further strengthen its position as a consumer lifestyle company. Additionally, LightInTheBox offers a comprehensive suite of services to e-commerce companies, including advertising, supply chain management, payment processing, order fulfillment, and shipping and delivery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https://ir.ador.com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business, the Company considers and uses a non-GAAP measure, Adjusted EBITDA, as a supplemental measure to review and assess operating performance. The presentation of this non-GAAP financial measure is not intended to be considered in isolation or as a substitute for the financial information prepared and presented in accordance with accounting principles generally accepted in the United States of America (“U.S. GAAP”). The Company’s non-GAAP financial measure excludes share-based compensation expenses, depreciation and amortization expenses, interest income, interest expenses and income tax benefit /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this non-GAAP financial measure because it is used by management to evaluate operating performance and formulate business plans. The Company believes that the non-GAAP financial measure helps identify underlying trends in its business. The Company also believes that the non-GAAP financial measure could provide further information about the Company’s results of operations and enhance the overall understanding of the Company’s past performance and future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 is not defined under U.S. GAAP and is not presented in accordance with U.S. GAAP. The non-GAAP financial measure has limitations as an analytical tool. The Company’s non-GAAP financial measure does not reflect all items of income and expenses that affect the Company’s operations and does not represent the residual cash flow available for discretionary expenditures. Further, the non-GAAP measure may differ from the non-GAAP information used by other companies, including peer companies, and therefore their comparability may be limited. The Company compensates for the limitations by reconciling the non-GAAP financial measure to the nearest U.S. GAAP performance measure, all of which should be considered when evaluating performance. The Company encourages you to review the Company’s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non-GAAP financial measure, please see the table captioned “Unaudited Reconciliations of GAAP and Non-GAAP Results”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involve risks and uncertainties.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LightInTheBox’s beliefs and expectations, the business outlook and quotations from management in this announcement, as well as LightInTheBox’s strategic and operational plans, are or contain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LightInTheBox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LightInTheBox’s goals and strategies; LightInTheBox’s future business development, results of operations and financial condition; the expected growth of the global online retail market; LightInTheBox’s ability to attract customers and further enhance customer experience and product offerings; LightInTheBox’s ability to strengthen its supply chain efficiency and optimize its logistics network; LightInTheBox’s expectations regarding demand for and market acceptance of its products; competition; fluctuations in general economic and business conditions; changes in tariffs and trade policies; and assumptions underlying or related to any of the foregoing. Further information regarding these and other risks is included in LightInTheBox’s filings with the SEC. All information provided in this press release and in the attachments is as of the date of this press release, and LightInTheBox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br/>
        <w:t>LightInTheBox Holding Co., Ltd.</w:t>
        <w:br/>
        <w:t>Email: </w:t>
      </w:r>
      <w:r>
        <w:rPr>
          <w:rFonts w:ascii="Times New Roman;Times;Serif" w:hAnsi="Times New Roman;Times;Serif"/>
          <w:b w:val="false"/>
          <w:i w:val="false"/>
          <w:caps w:val="false"/>
          <w:smallCaps w:val="false"/>
          <w:sz w:val="20"/>
          <w:u w:val="single"/>
        </w:rPr>
        <w:t>ir@ador.com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Serena Huang</w:t>
        <w:br/>
        <w:t>Octans Capital Group</w:t>
        <w:br/>
        <w:t>Email: </w:t>
      </w:r>
      <w:r>
        <w:rPr>
          <w:rFonts w:ascii="Times New Roman;Times;Serif" w:hAnsi="Times New Roman;Times;Serif"/>
          <w:b w:val="false"/>
          <w:i w:val="false"/>
          <w:caps w:val="false"/>
          <w:smallCaps w:val="false"/>
          <w:sz w:val="20"/>
          <w:u w:val="single"/>
        </w:rPr>
        <w:t>litb@octanscap.com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LightInTheBox Holding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or otherwise noted)</w:t>
      </w:r>
    </w:p>
    <w:p>
      <w:pPr>
        <w:pStyle w:val="TextBody"/>
        <w:bidi w:val="0"/>
        <w:spacing w:before="0" w:after="0"/>
        <w:ind w:left="0" w:right="0" w:hanging="0"/>
        <w:jc w:val="left"/>
        <w:rPr>
          <w:caps w:val="false"/>
          <w:smallCaps w:val="false"/>
        </w:rPr>
      </w:pPr>
      <w:r>
        <w:rPr>
          <w:caps w:val="false"/>
          <w:smallCaps w:val="false"/>
        </w:rPr>
        <w:t> </w:t>
      </w:r>
    </w:p>
    <w:tbl>
      <w:tblPr>
        <w:tblW w:w="8123" w:type="dxa"/>
        <w:jc w:val="left"/>
        <w:tblInd w:w="0" w:type="dxa"/>
        <w:tblLayout w:type="fixed"/>
        <w:tblCellMar>
          <w:top w:w="0" w:type="dxa"/>
          <w:left w:w="0" w:type="dxa"/>
          <w:bottom w:w="0" w:type="dxa"/>
          <w:right w:w="0" w:type="dxa"/>
        </w:tblCellMar>
      </w:tblPr>
      <w:tblGrid>
        <w:gridCol w:w="5000"/>
        <w:gridCol w:w="60"/>
        <w:gridCol w:w="120"/>
        <w:gridCol w:w="1519"/>
        <w:gridCol w:w="80"/>
        <w:gridCol w:w="60"/>
        <w:gridCol w:w="87"/>
        <w:gridCol w:w="1102"/>
        <w:gridCol w:w="95"/>
      </w:tblGrid>
      <w:tr>
        <w:trPr/>
        <w:tc>
          <w:tcPr>
            <w:tcW w:w="5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rental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63,515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DEFICIT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from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63,360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75,985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64,531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DEFICIT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280,646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(253,927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(251,196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(3,983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63,515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LightInTheBox Holding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5"/>
        <w:gridCol w:w="60"/>
        <w:gridCol w:w="60"/>
        <w:gridCol w:w="1055"/>
        <w:gridCol w:w="80"/>
        <w:gridCol w:w="60"/>
        <w:gridCol w:w="60"/>
        <w:gridCol w:w="1055"/>
        <w:gridCol w:w="80"/>
        <w:gridCol w:w="60"/>
        <w:gridCol w:w="60"/>
        <w:gridCol w:w="1055"/>
        <w:gridCol w:w="80"/>
        <w:gridCol w:w="60"/>
        <w:gridCol w:w="60"/>
        <w:gridCol w:w="1055"/>
        <w:gridCol w:w="215"/>
        <w:gridCol w:w="75"/>
      </w:tblGrid>
      <w:tr>
        <w:trPr/>
        <w:tc>
          <w:tcPr>
            <w:tcW w:w="4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1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4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105,116</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3,675</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108,791</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(36,620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(37,422</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71,369</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Fulfillment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(51,332</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(8,819</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(68,166</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215" w:type="dxa"/>
            <w:tcBorders/>
            <w:shd w:fill="FFFFFF" w:val="cle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2,731</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LightInTheBox Holding Co., Ltd.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2,731</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numbers of shares used in calculating net income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219,963,072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214,538,028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220,320,143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215,227,363</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220,156,552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214,704,348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220,567,883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215,388,604</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ADS (12 ordinary shares equal to 1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LightInTheBox Holding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Reconciliations of GAAP and Non-GAAP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or otherwise noted)</w:t>
      </w:r>
    </w:p>
    <w:p>
      <w:pPr>
        <w:pStyle w:val="TextBody"/>
        <w:bidi w:val="0"/>
        <w:spacing w:before="0" w:after="0"/>
        <w:ind w:left="0" w:right="0" w:hanging="0"/>
        <w:jc w:val="left"/>
        <w:rPr>
          <w:caps w:val="false"/>
          <w:smallCaps w:val="false"/>
        </w:rPr>
      </w:pPr>
      <w:r>
        <w:rPr>
          <w:caps w:val="false"/>
          <w:smallCaps w:val="false"/>
        </w:rPr>
        <w:t> </w:t>
      </w:r>
    </w:p>
    <w:tbl>
      <w:tblPr>
        <w:tblW w:w="6117" w:type="dxa"/>
        <w:jc w:val="left"/>
        <w:tblInd w:w="0" w:type="dxa"/>
        <w:tblLayout w:type="fixed"/>
        <w:tblCellMar>
          <w:top w:w="0" w:type="dxa"/>
          <w:left w:w="0" w:type="dxa"/>
          <w:bottom w:w="0" w:type="dxa"/>
          <w:right w:w="0" w:type="dxa"/>
        </w:tblCellMar>
      </w:tblPr>
      <w:tblGrid>
        <w:gridCol w:w="2510"/>
        <w:gridCol w:w="60"/>
        <w:gridCol w:w="86"/>
        <w:gridCol w:w="704"/>
        <w:gridCol w:w="115"/>
        <w:gridCol w:w="86"/>
        <w:gridCol w:w="86"/>
        <w:gridCol w:w="708"/>
        <w:gridCol w:w="60"/>
        <w:gridCol w:w="60"/>
        <w:gridCol w:w="75"/>
        <w:gridCol w:w="611"/>
        <w:gridCol w:w="100"/>
        <w:gridCol w:w="75"/>
        <w:gridCol w:w="75"/>
        <w:gridCol w:w="611"/>
        <w:gridCol w:w="9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8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47"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5"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7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2,343</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Adjusted EBITDA represents net income before share-based compensation expense, interest income, interest expense, income tax expense / benefit and depreciation and amortization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2523</Words>
  <Characters>14463</Characters>
  <CharactersWithSpaces>17513</CharactersWithSpaces>
  <Paragraphs>1432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