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633d1_6k.htm"/>
      <w:bookmarkStart w:id="1" w:name="kstm2622633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001-35942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LightInTheBox Holding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Pandan Crescent #03-03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(128475)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Form 20-F ☐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CONSUMMATION OF PIPE FINANCING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LightInTheBox Holding Co., Ltd. (NYSE: LITB) (the “Company”) completed a private placement (the “PIPE”) pursuant to subscription agreements (the “PIPE Subscription Agreements”) with certain investors (each, a “Subscriber” and collectively, the “Subscribers”).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PIPE Subscription Agreements, the Company issued and sold to the Subscribers an aggregate of 21,397,409 ordinary shares, par value $0.000067 per share (the “PIPE Shares”), at a purchase price of $0.2566667 per ordinary share (equivalent to $3.08 per American Depositary Share, each representing twelve ordinary shares), representing aggregate gross proceeds to the Company of approximately $5.49 million, prior to the payment of fees and expenses. Prior to the issuance of the PIPE Shares, the Company submitted a Supplemental Listing Application to the New York Stock Exchange for the listing of the additional American Depositary Shares representing the PIPE Shares, and the New York Stock Exchange has authorized such application.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Subscription Agreements contain customary representations and warranties of the Company and the Subscribers, customary conditions to closing, and customary indemnification obligations. Pursuant to the PIPE Subscription Agreements, the Company has agreed to register the resale of the PIPE Shares and is required to prepare and file a registration statement with the U.S. Securities and Exchange Commission no later than one hundred twenty (120) days following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Shares were issued and sold to the Subscribers in reliance on the exemption from registration provided by Section 4(a)(2) of the Securities Act of 1933, as amended (the “Securities Act”), and/or Rule 506 of Regulation D promulgated thereunder, and have not been registered under the Securities Act or any state securities laws. The Company relied on this exemption from registration based in part on representations made by the Subscribers. The PIPE Shares may not be offered or sold in the United States absent registration or an applicable exemption from registration requirements. Neither this Report of Foreign Private Issuer on Form 6-K, nor the exhibits attached hereto, is an offer to sell or the solicitation of an offer to buy the securities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PIPE Subscription Agreements does not purport to be complete and is qualified in its entirety by reference to the PIPE Subscription Agreements, a form of which is filed as Exhibit 10.1 to this Report of Foreign Private Issuer on Form 6-K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extBody"/>
        <w:bidi w:val="0"/>
        <w:spacing w:before="0" w:after="0"/>
        <w:jc w:val="left"/>
        <w:rPr/>
      </w:pPr>
      <w:hyperlink w:anchor="tm2622633d1_ex10-1.htm">
        <w:r>
          <w:rPr>
            <w:rStyle w:val="InternetLink"/>
            <w:rFonts w:ascii="Times New Roman;Times;Serif" w:hAnsi="Times New Roman;Times;Serif"/>
            <w:b w:val="false"/>
            <w:i w:val="false"/>
            <w:caps w:val="false"/>
            <w:smallCaps w:val="false"/>
            <w:sz w:val="20"/>
          </w:rPr>
          <w:t>Exhibit 10.1</w:t>
        </w:r>
      </w:hyperlink>
      <w:r>
        <w:rPr>
          <w:rFonts w:ascii="Times New Roman;Times;Serif" w:hAnsi="Times New Roman;Times;Serif"/>
          <w:b w:val="false"/>
          <w:i w:val="false"/>
          <w:caps w:val="false"/>
          <w:smallCaps w:val="false"/>
          <w:sz w:val="20"/>
        </w:rPr>
        <w:t xml:space="preserve"> </w:t>
      </w:r>
      <w:hyperlink w:anchor="tm2622633d1_ex10-1.htm">
        <w:r>
          <w:rPr>
            <w:rStyle w:val="InternetLink"/>
            <w:rFonts w:ascii="Times New Roman;Times;Serif" w:hAnsi="Times New Roman;Times;Serif"/>
            <w:b w:val="false"/>
            <w:i w:val="false"/>
            <w:caps w:val="false"/>
            <w:smallCaps w:val="false"/>
            <w:sz w:val="20"/>
          </w:rPr>
          <w:t>— Form of PIPE Subscription Agreement, dated as of July 10, 2026 by and between LightInTheBox Holding Co., Ltd. and the Subscriber party thereto.</w:t>
        </w:r>
      </w:hyperlink>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694" w:type="dxa"/>
        <w:jc w:val="left"/>
        <w:tblInd w:w="0" w:type="dxa"/>
        <w:tblLayout w:type="fixed"/>
        <w:tblCellMar>
          <w:top w:w="0" w:type="dxa"/>
          <w:left w:w="0" w:type="dxa"/>
          <w:bottom w:w="0" w:type="dxa"/>
          <w:right w:w="0" w:type="dxa"/>
        </w:tblCellMar>
      </w:tblPr>
      <w:tblGrid>
        <w:gridCol w:w="860"/>
        <w:gridCol w:w="2759"/>
        <w:gridCol w:w="75"/>
      </w:tblGrid>
      <w:tr>
        <w:trPr/>
        <w:tc>
          <w:tcPr>
            <w:tcW w:w="36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LIGHTINTHEBOX HOLDING CO., LTD.</w:t>
            </w:r>
          </w:p>
        </w:tc>
        <w:tc>
          <w:tcPr>
            <w:tcW w:w="75" w:type="dxa"/>
            <w:tcBorders/>
            <w:vAlign w:val="center"/>
          </w:tcPr>
          <w:p>
            <w:pPr>
              <w:pStyle w:val="TableContents"/>
              <w:bidi w:val="0"/>
              <w:spacing w:before="0" w:after="283"/>
              <w:jc w:val="left"/>
              <w:rPr/>
            </w:pPr>
            <w:r>
              <w:rPr/>
              <w:t> </w:t>
            </w:r>
          </w:p>
        </w:tc>
      </w:tr>
      <w:tr>
        <w:trPr/>
        <w:tc>
          <w:tcPr>
            <w:tcW w:w="36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 He</w:t>
            </w:r>
          </w:p>
        </w:tc>
        <w:tc>
          <w:tcPr>
            <w:tcW w:w="75"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 He</w:t>
            </w:r>
          </w:p>
        </w:tc>
        <w:tc>
          <w:tcPr>
            <w:tcW w:w="75"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7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2" w:name="tm2622633d1_ex10-1.htm"/>
      <w:bookmarkStart w:id="3" w:name="kstm2622633d1_ex10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LightInTheBox Holding Co.,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Pandan Crescent #03-03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128475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(this “</w:t>
      </w:r>
      <w:r>
        <w:rPr>
          <w:rFonts w:ascii="Times New Roman;Times;Serif" w:hAnsi="Times New Roman;Times;Serif"/>
          <w:b/>
          <w:i w:val="false"/>
          <w:caps w:val="false"/>
          <w:smallCaps w:val="false"/>
          <w:sz w:val="20"/>
          <w:u w:val="single"/>
        </w:rPr>
        <w:t>Subscription Agreement</w:t>
      </w:r>
      <w:r>
        <w:rPr>
          <w:rFonts w:ascii="Times New Roman;Times;Serif" w:hAnsi="Times New Roman;Times;Serif"/>
          <w:b w:val="false"/>
          <w:i w:val="false"/>
          <w:caps w:val="false"/>
          <w:smallCaps w:val="false"/>
          <w:sz w:val="20"/>
        </w:rPr>
        <w:t>”) is being entered into as of July 10, 2026, by and between LightInTheBox Holding Co., Ltd., a Cayman Islands exempted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undersigned subscriber (“</w:t>
      </w:r>
      <w:r>
        <w:rPr>
          <w:rFonts w:ascii="Times New Roman;Times;Serif" w:hAnsi="Times New Roman;Times;Serif"/>
          <w:b/>
          <w:i w:val="false"/>
          <w:caps w:val="false"/>
          <w:smallCaps w:val="false"/>
          <w:sz w:val="20"/>
          <w:u w:val="single"/>
        </w:rPr>
        <w:t>Subscriber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Subscriber desires to subscribe for and purchase from the Company, that number of ordinary shares, par value $0.000067 per share (“</w:t>
      </w:r>
      <w:r>
        <w:rPr>
          <w:rFonts w:ascii="Times New Roman;Times;Serif" w:hAnsi="Times New Roman;Times;Serif"/>
          <w:b/>
          <w:i w:val="false"/>
          <w:caps w:val="false"/>
          <w:smallCaps w:val="false"/>
          <w:sz w:val="20"/>
          <w:u w:val="single"/>
        </w:rPr>
        <w:t>Ordinary Shares</w:t>
      </w:r>
      <w:r>
        <w:rPr>
          <w:rFonts w:ascii="Times New Roman;Times;Serif" w:hAnsi="Times New Roman;Times;Serif"/>
          <w:b w:val="false"/>
          <w:i w:val="false"/>
          <w:caps w:val="false"/>
          <w:smallCaps w:val="false"/>
          <w:sz w:val="20"/>
        </w:rPr>
        <w:t>”), set forth on the signature page hereto (the “</w:t>
      </w:r>
      <w:r>
        <w:rPr>
          <w:rFonts w:ascii="Times New Roman;Times;Serif" w:hAnsi="Times New Roman;Times;Serif"/>
          <w:b/>
          <w:i w:val="false"/>
          <w:caps w:val="false"/>
          <w:smallCaps w:val="false"/>
          <w:sz w:val="20"/>
          <w:u w:val="single"/>
        </w:rPr>
        <w:t>Subscribed Shares</w:t>
      </w:r>
      <w:r>
        <w:rPr>
          <w:rFonts w:ascii="Times New Roman;Times;Serif" w:hAnsi="Times New Roman;Times;Serif"/>
          <w:b w:val="false"/>
          <w:i w:val="false"/>
          <w:caps w:val="false"/>
          <w:smallCaps w:val="false"/>
          <w:sz w:val="20"/>
        </w:rPr>
        <w:t>”) for a purchase price of $0.2566667 per share (the “</w:t>
      </w:r>
      <w:r>
        <w:rPr>
          <w:rFonts w:ascii="Times New Roman;Times;Serif" w:hAnsi="Times New Roman;Times;Serif"/>
          <w:b/>
          <w:i w:val="false"/>
          <w:caps w:val="false"/>
          <w:smallCaps w:val="false"/>
          <w:sz w:val="20"/>
          <w:u w:val="single"/>
        </w:rPr>
        <w:t>Per Share Price</w:t>
      </w:r>
      <w:r>
        <w:rPr>
          <w:rFonts w:ascii="Times New Roman;Times;Serif" w:hAnsi="Times New Roman;Times;Serif"/>
          <w:b w:val="false"/>
          <w:i w:val="false"/>
          <w:caps w:val="false"/>
          <w:smallCaps w:val="false"/>
          <w:sz w:val="20"/>
        </w:rPr>
        <w:t>” and the aggregate of such Per Share Price for all Subscribed Shares being referred to herein as the “</w:t>
      </w:r>
      <w:r>
        <w:rPr>
          <w:rFonts w:ascii="Times New Roman;Times;Serif" w:hAnsi="Times New Roman;Times;Serif"/>
          <w:b/>
          <w:i w:val="false"/>
          <w:caps w:val="false"/>
          <w:smallCaps w:val="false"/>
          <w:sz w:val="20"/>
          <w:u w:val="single"/>
        </w:rPr>
        <w:t>Purchase Price</w:t>
      </w:r>
      <w:r>
        <w:rPr>
          <w:rFonts w:ascii="Times New Roman;Times;Serif" w:hAnsi="Times New Roman;Times;Serif"/>
          <w:b w:val="false"/>
          <w:i w:val="false"/>
          <w:caps w:val="false"/>
          <w:smallCaps w:val="false"/>
          <w:sz w:val="20"/>
        </w:rPr>
        <w:t>”), and at the closing of the sale of the Ordinary Shares contemplated hereby (the “</w:t>
      </w:r>
      <w:r>
        <w:rPr>
          <w:rFonts w:ascii="Times New Roman;Times;Serif" w:hAnsi="Times New Roman;Times;Serif"/>
          <w:b/>
          <w:i w:val="false"/>
          <w:caps w:val="false"/>
          <w:smallCaps w:val="false"/>
          <w:sz w:val="20"/>
          <w:u w:val="single"/>
        </w:rPr>
        <w:t>Closing</w:t>
      </w:r>
      <w:r>
        <w:rPr>
          <w:rFonts w:ascii="Times New Roman;Times;Serif" w:hAnsi="Times New Roman;Times;Serif"/>
          <w:b w:val="false"/>
          <w:i w:val="false"/>
          <w:caps w:val="false"/>
          <w:smallCaps w:val="false"/>
          <w:sz w:val="20"/>
        </w:rPr>
        <w:t>”), the Company desires to issue and sell to Subscriber the Subscribed Shares in consideration of the payment of the Purchase Price by or on behalf of Subscriber to the Company, all on the terms and subject to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upon the terms and conditions of this Subscription Agreement, the Company desires to issue and sell to Subscriber the Subscribed Shares in a private placement exempt from registration pursuant to Section 4(a)(2) of the Securities Act of 1933, as amended (the “</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and/or Rule 506 of Regulation D (“</w:t>
      </w:r>
      <w:r>
        <w:rPr>
          <w:rFonts w:ascii="Times New Roman;Times;Serif" w:hAnsi="Times New Roman;Times;Serif"/>
          <w:b/>
          <w:i w:val="false"/>
          <w:caps w:val="false"/>
          <w:smallCaps w:val="false"/>
          <w:sz w:val="20"/>
          <w:u w:val="single"/>
        </w:rPr>
        <w:t>Regulation D</w:t>
      </w:r>
      <w:r>
        <w:rPr>
          <w:rFonts w:ascii="Times New Roman;Times;Serif" w:hAnsi="Times New Roman;Times;Serif"/>
          <w:b w:val="false"/>
          <w:i w:val="false"/>
          <w:caps w:val="false"/>
          <w:smallCaps w:val="false"/>
          <w:sz w:val="20"/>
        </w:rPr>
        <w:t>”) as promulgated by the United States Securities and Exchange Commission (the “</w:t>
      </w:r>
      <w:r>
        <w:rPr>
          <w:rFonts w:ascii="Times New Roman;Times;Serif" w:hAnsi="Times New Roman;Times;Serif"/>
          <w:b/>
          <w:i w:val="false"/>
          <w:caps w:val="false"/>
          <w:smallCaps w:val="false"/>
          <w:sz w:val="20"/>
          <w:u w:val="single"/>
        </w:rPr>
        <w:t>SEC</w:t>
      </w:r>
      <w:r>
        <w:rPr>
          <w:rFonts w:ascii="Times New Roman;Times;Serif" w:hAnsi="Times New Roman;Times;Serif"/>
          <w:b w:val="false"/>
          <w:i w:val="false"/>
          <w:caps w:val="false"/>
          <w:smallCaps w:val="false"/>
          <w:sz w:val="20"/>
        </w:rPr>
        <w:t>”) under the Securities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or prior to the Closing, the Company is entering into subscription agreements (the “</w:t>
      </w:r>
      <w:r>
        <w:rPr>
          <w:rFonts w:ascii="Times New Roman;Times;Serif" w:hAnsi="Times New Roman;Times;Serif"/>
          <w:b/>
          <w:i w:val="false"/>
          <w:caps w:val="false"/>
          <w:smallCaps w:val="false"/>
          <w:sz w:val="20"/>
          <w:u w:val="single"/>
        </w:rPr>
        <w:t>Other Subscription Agreements</w:t>
      </w:r>
      <w:r>
        <w:rPr>
          <w:rFonts w:ascii="Times New Roman;Times;Serif" w:hAnsi="Times New Roman;Times;Serif"/>
          <w:b w:val="false"/>
          <w:i w:val="false"/>
          <w:caps w:val="false"/>
          <w:smallCaps w:val="false"/>
          <w:sz w:val="20"/>
        </w:rPr>
        <w:t>” and together with this Subscription Agreement, the “</w:t>
      </w:r>
      <w:r>
        <w:rPr>
          <w:rFonts w:ascii="Times New Roman;Times;Serif" w:hAnsi="Times New Roman;Times;Serif"/>
          <w:b/>
          <w:i w:val="false"/>
          <w:caps w:val="false"/>
          <w:smallCaps w:val="false"/>
          <w:sz w:val="20"/>
          <w:u w:val="single"/>
        </w:rPr>
        <w:t>Subscription Agreements</w:t>
      </w:r>
      <w:r>
        <w:rPr>
          <w:rFonts w:ascii="Times New Roman;Times;Serif" w:hAnsi="Times New Roman;Times;Serif"/>
          <w:b w:val="false"/>
          <w:i w:val="false"/>
          <w:caps w:val="false"/>
          <w:smallCaps w:val="false"/>
          <w:sz w:val="20"/>
        </w:rPr>
        <w:t>”) with certain other investors (the “</w:t>
      </w:r>
      <w:r>
        <w:rPr>
          <w:rFonts w:ascii="Times New Roman;Times;Serif" w:hAnsi="Times New Roman;Times;Serif"/>
          <w:b/>
          <w:i w:val="false"/>
          <w:caps w:val="false"/>
          <w:smallCaps w:val="false"/>
          <w:sz w:val="20"/>
          <w:u w:val="single"/>
        </w:rPr>
        <w:t>Other Subscribers</w:t>
      </w:r>
      <w:r>
        <w:rPr>
          <w:rFonts w:ascii="Times New Roman;Times;Serif" w:hAnsi="Times New Roman;Times;Serif"/>
          <w:b w:val="false"/>
          <w:i w:val="false"/>
          <w:caps w:val="false"/>
          <w:smallCaps w:val="false"/>
          <w:sz w:val="20"/>
        </w:rPr>
        <w:t>” and together with Subscriber, the “</w:t>
      </w:r>
      <w:r>
        <w:rPr>
          <w:rFonts w:ascii="Times New Roman;Times;Serif" w:hAnsi="Times New Roman;Times;Serif"/>
          <w:b/>
          <w:i w:val="false"/>
          <w:caps w:val="false"/>
          <w:smallCaps w:val="false"/>
          <w:sz w:val="20"/>
          <w:u w:val="single"/>
        </w:rPr>
        <w:t>Subscribers</w:t>
      </w:r>
      <w:r>
        <w:rPr>
          <w:rFonts w:ascii="Times New Roman;Times;Serif" w:hAnsi="Times New Roman;Times;Serif"/>
          <w:b w:val="false"/>
          <w:i w:val="false"/>
          <w:caps w:val="false"/>
          <w:smallCaps w:val="false"/>
          <w:sz w:val="20"/>
        </w:rPr>
        <w:t>”), pursuant to which such Other Subscribers have agreed to subscribe for and purchase from the Company, and the Company desires to issue and sell to the Other Subscribers at the Closing, Ordinary Shares at the Per Share Price (the shares of the Other Subscribers, the “</w:t>
      </w:r>
      <w:r>
        <w:rPr>
          <w:rFonts w:ascii="Times New Roman;Times;Serif" w:hAnsi="Times New Roman;Times;Serif"/>
          <w:b/>
          <w:i w:val="false"/>
          <w:caps w:val="false"/>
          <w:smallCaps w:val="false"/>
          <w:sz w:val="20"/>
          <w:u w:val="single"/>
        </w:rPr>
        <w:t>Other Subscribed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in consideration of the foregoing and the mutual representations, warranties and covenants, and subject to the conditions, herein contained, and intending to be legally bound hereby, 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Subscription</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Subject to the terms and conditions hereof, Subscriber hereby irrevocably subscribes for and agrees to purchase, and the Company hereby agrees to issue and sell to Subscriber upon the payment of the Purchase Price, in each case, at the Closing, the Subscribed Shares (such subscription and issuance, the “</w:t>
      </w:r>
      <w:r>
        <w:rPr>
          <w:rFonts w:ascii="Times New Roman;Times;Serif" w:hAnsi="Times New Roman;Times;Serif"/>
          <w:b/>
          <w:i w:val="false"/>
          <w:caps w:val="false"/>
          <w:smallCaps w:val="false"/>
          <w:sz w:val="20"/>
          <w:u w:val="single"/>
        </w:rPr>
        <w:t>Subscription</w:t>
      </w:r>
      <w:r>
        <w:rPr>
          <w:rFonts w:ascii="Times New Roman;Times;Serif" w:hAnsi="Times New Roman;Times;Serif"/>
          <w:b w:val="false"/>
          <w:i w:val="false"/>
          <w:caps w:val="false"/>
          <w:smallCaps w:val="false"/>
          <w:sz w:val="20"/>
        </w:rPr>
        <w:t>”). The purchase, issuance, sale and delivery of the Subscribed Shares shall be made pursuant to and in reliance upon Section 4(a)(2) of the Securities Act and/or Regulation D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Closing; Delivery of Shares; Conditions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Closing shall occur upon satisfaction or waiver of the conditions set forth in </w:t>
      </w:r>
      <w:r>
        <w:rPr>
          <w:rFonts w:ascii="Times New Roman;Times;Serif" w:hAnsi="Times New Roman;Times;Serif"/>
          <w:b w:val="false"/>
          <w:i w:val="false"/>
          <w:caps w:val="false"/>
          <w:smallCaps w:val="false"/>
          <w:sz w:val="20"/>
          <w:u w:val="single"/>
        </w:rPr>
        <w:t>Sections 2(d)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2(f)</w:t>
      </w:r>
      <w:r>
        <w:rPr>
          <w:rFonts w:ascii="Times New Roman;Times;Serif" w:hAnsi="Times New Roman;Times;Serif"/>
          <w:b w:val="false"/>
          <w:i w:val="false"/>
          <w:caps w:val="false"/>
          <w:smallCaps w:val="false"/>
          <w:sz w:val="20"/>
        </w:rPr>
        <w:t> (other than those conditions that by their nature are to be satisfied at the Closing), or at such other time as may be agreed to by the Company and a majority of the Subscribers in writing (the “</w:t>
      </w:r>
      <w:r>
        <w:rPr>
          <w:rFonts w:ascii="Times New Roman;Times;Serif" w:hAnsi="Times New Roman;Times;Serif"/>
          <w:b/>
          <w:i w:val="false"/>
          <w:caps w:val="false"/>
          <w:smallCaps w:val="false"/>
          <w:sz w:val="20"/>
          <w:u w:val="single"/>
        </w:rPr>
        <w:t>Subscription Closing Date</w:t>
      </w:r>
      <w:r>
        <w:rPr>
          <w:rFonts w:ascii="Times New Roman;Times;Serif" w:hAnsi="Times New Roman;Times;Serif"/>
          <w:b w:val="false"/>
          <w:i w:val="false"/>
          <w:caps w:val="false"/>
          <w:smallCaps w:val="false"/>
          <w:sz w:val="20"/>
        </w:rPr>
        <w:t>”). For the purposes of this Subscription Agreement, “</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means a day other than a Saturday, Sunday or other day on which commercial banks in New York, New York or governmental authorities in the Cayman Islands are authorized or required by Law (as defined below) to close. For the purposes of this Subscription Agreement, “</w:t>
      </w:r>
      <w:r>
        <w:rPr>
          <w:rFonts w:ascii="Times New Roman;Times;Serif" w:hAnsi="Times New Roman;Times;Serif"/>
          <w:b/>
          <w:i w:val="false"/>
          <w:caps w:val="false"/>
          <w:smallCaps w:val="false"/>
          <w:sz w:val="20"/>
          <w:u w:val="single"/>
        </w:rPr>
        <w:t>Law</w:t>
      </w:r>
      <w:r>
        <w:rPr>
          <w:rFonts w:ascii="Times New Roman;Times;Serif" w:hAnsi="Times New Roman;Times;Serif"/>
          <w:b w:val="false"/>
          <w:i w:val="false"/>
          <w:caps w:val="false"/>
          <w:smallCaps w:val="false"/>
          <w:sz w:val="20"/>
        </w:rPr>
        <w:t>” means any federal, state, local, municipal, foreign or other law, statute, legislation, ordinance, code, edict, decree, proclamation, treaty, convention, rule, regulation, writ, injunction, order or consent that is or has been issued, enacted, adopted, passed, approved, promulgated, made, implemented or otherwise put into effect by or under the authority of any Governmental Authority (as defined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the Subscription Closing Date, prior to 10:00 a.m. (Eastern Time), Subscriber shall deliver the Purchase Price for the Subscribed Shares by wire transfer of United States dollars in immediately available funds to the account specified by the Company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satisfaction (or, if applicable, waiver) of the conditions set forth in </w:t>
      </w:r>
      <w:r>
        <w:rPr>
          <w:rFonts w:ascii="Times New Roman;Times;Serif" w:hAnsi="Times New Roman;Times;Serif"/>
          <w:b w:val="false"/>
          <w:i w:val="false"/>
          <w:caps w:val="false"/>
          <w:smallCaps w:val="false"/>
          <w:sz w:val="20"/>
          <w:u w:val="single"/>
        </w:rPr>
        <w:t>Sections 2(d)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2(f)</w:t>
      </w:r>
      <w:r>
        <w:rPr>
          <w:rFonts w:ascii="Times New Roman;Times;Serif" w:hAnsi="Times New Roman;Times;Serif"/>
          <w:b w:val="false"/>
          <w:i w:val="false"/>
          <w:caps w:val="false"/>
          <w:smallCaps w:val="false"/>
          <w:sz w:val="20"/>
        </w:rPr>
        <w:t>, the Company shall deliver to Subscriber (i) at the Closing, the Subscribed Shares in book entry form, free and clear of any liens or other restrictions (other than those arising under this Subscription Agreement or applicable securities Laws), in the name of Subscriber (or its nominee identified to the Company in writing no less than one Business Day prior to the Closing), and (ii) as promptly as practicable after the Closing, evidence from the Company’s transfer agent of the issuance to Subscriber of the Subscribed Shares (in book entry form and containing customary restrictive legends) on and as of the Subscription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closing of the transactions contemplated herein shall be subject to the satisfaction, or valid waiver by each of the parties hereto, of the conditions that, on the Subscription Closing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 suspension of the qualification of the Subscribed Shares for offering or sale or trading in any jurisdiction, or initiation or threatening of any proceedings for any of such purposes, shall have occurred;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Governmental Authority shall have issued, enforced or entered any judgment or order, which is then in effect and has the effect of making the consummation of the transactions contemplated hereby illegal or otherwise restraining or prohibiting consummation of the transactions contemplated hereby. For purposes of this Subscription Agreement, “</w:t>
            </w:r>
            <w:r>
              <w:rPr>
                <w:rFonts w:ascii="Times New Roman;Times;Serif" w:hAnsi="Times New Roman;Times;Serif"/>
                <w:b/>
                <w:sz w:val="20"/>
                <w:u w:val="single"/>
              </w:rPr>
              <w:t>Governmental Authority</w:t>
            </w:r>
            <w:r>
              <w:rPr>
                <w:rFonts w:ascii="Times New Roman;Times;Serif" w:hAnsi="Times New Roman;Times;Serif"/>
                <w:sz w:val="20"/>
              </w:rPr>
              <w:t xml:space="preserve">” means any federal, state, local, foreign or other governmental, quasi-governmental or administrative body, instrumentality, department or agency or any court, tribunal, administrative hearing body, arbitration panel, commission, or other similar dispute-resolving panel or body.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obligation of the Company to consummate the transactions contemplated herein shall be subject to the satisfaction or valid waiver by the Company of the additional conditions that, on the Subscription Closing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representations and warranties of Subscriber contained in this Subscription Agreement shall be true and correct in all material respects (other than representations and warranties that are qualified as to materiality or Subscriber Material Adverse Effect (as defined herein), which representations and warranties shall be true and correct in all respects) at and as of the Closing (except for representations and warranties that speak as of a specific date, which shall be true and correct in all material respects as of such date (other than representations and warranties that are qualified as to materiality or Subscriber Material Adverse Effect, which representations and warranties shall be true and correct in all respects) as of such date), and consummation of the transactions contemplated herein shall constitute a reaffirmation by Subscriber of each of the representations, warranties and agreements of Subscriber contained in this Subscription Agreement as of the Closing;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Subscriber shall have performed, satisfied and complied in all material respects with all covenants, agreements and conditions required by this Subscription Agreement to be performed, satisfied or complied with by it at or prior to the Closing; and </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335"/>
        <w:gridCol w:w="4940"/>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4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Company shall have received in full the Purchase Price.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obligation of Subscriber to consummate the transactions contemplated herein shall be subject to the satisfaction or valid waiver by Subscriber of the additional conditions that, on the Subscription Closing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all representations and warranties of the Company contained in this Subscription Agreement shall be true and correct in all material respects (other than representations and warranties that are qualified as to materiality or the Company Material Adverse Effect (as defined herein), which representations and warranties shall be true and correct in all respects) at and as of the Closing (except for representations and warranties that speak as of a specific date, which shall be true and correct in all material respects as of such date (other than representations and warranties that are qualified as to materiality or the Company Material Adverse Effect, which representations and warranties shall be true and correct in all respects) as of such date), and consummation of the transactions contemplated herein shall constitute a reaffirmation by the Company of each of the representations, warranties and agreements of the Company contained in this Subscription Agreement as of the Closing;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Company shall have performed, satisfied and complied in all material respects with all covenants, agreements and conditions required by this Subscription Agreement to be performed, satisfied or complied with by it at or prior to the Closing;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9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shall have submitted to the New York Stock Exchange (the “</w:t>
            </w:r>
            <w:r>
              <w:rPr>
                <w:rFonts w:ascii="Times New Roman;Times;Serif" w:hAnsi="Times New Roman;Times;Serif"/>
                <w:b/>
                <w:sz w:val="20"/>
                <w:u w:val="single"/>
              </w:rPr>
              <w:t>Stock Exchange</w:t>
            </w:r>
            <w:r>
              <w:rPr>
                <w:rFonts w:ascii="Times New Roman;Times;Serif" w:hAnsi="Times New Roman;Times;Serif"/>
                <w:sz w:val="20"/>
              </w:rPr>
              <w:t xml:space="preserve">”) a Supplemental Listing Application for the listing of the Subscribed Shares and Other Subscribed Shares and the Stock Exchange shall have raised no objections to the consummation of the Closing.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Prior to or at the Closing, Subscriber shall execute and deliver or cause to be executed and delivered all such other documents, instruments and information as is reasonably requested by the Company in order for the Company to issue the Subscribed Shares to Subscriber, including a duly completed and executed Internal Revenue Service Form W-9 or appropriate Form W-8.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The Company Representations and Warranties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represents and warrants to Subscriber that, except as otherwise expressly contemplated by the reports, schedules, forms, statements and other documents filed or furnished by the Company under the Securities Act, and the Securities Exchange Act of 1934, as amended (the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including pursuant to Section 13(a) or 15(d) thereof, during the one-year period preceding the date hereof (collectively, the “</w:t>
      </w:r>
      <w:r>
        <w:rPr>
          <w:rFonts w:ascii="Times New Roman;Times;Serif" w:hAnsi="Times New Roman;Times;Serif"/>
          <w:b/>
          <w:i w:val="false"/>
          <w:caps w:val="false"/>
          <w:smallCaps w:val="false"/>
          <w:sz w:val="20"/>
          <w:u w:val="single"/>
        </w:rPr>
        <w:t>SEC Filings</w:t>
      </w:r>
      <w:r>
        <w:rPr>
          <w:rFonts w:ascii="Times New Roman;Times;Serif" w:hAnsi="Times New Roman;Times;Serif"/>
          <w:b w:val="false"/>
          <w:i w:val="false"/>
          <w:caps w:val="false"/>
          <w:smallCaps w:val="false"/>
          <w:sz w:val="20"/>
        </w:rPr>
        <w:t>”), which qualify these representations and warranties in their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is duly organized, validly existing and in good standing under the laws of the Cayman Islands, (ii) has the requisite corporate power and authority to own, lease and operate its properties, to carry on its business as it is now being conducted and to enter into, deliver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Subscription Agreement, an “</w:t>
      </w:r>
      <w:r>
        <w:rPr>
          <w:rFonts w:ascii="Times New Roman;Times;Serif" w:hAnsi="Times New Roman;Times;Serif"/>
          <w:b/>
          <w:i w:val="false"/>
          <w:caps w:val="false"/>
          <w:smallCaps w:val="false"/>
          <w:sz w:val="20"/>
          <w:u w:val="single"/>
        </w:rPr>
        <w:t>the Company Material Adverse Effect</w:t>
      </w:r>
      <w:r>
        <w:rPr>
          <w:rFonts w:ascii="Times New Roman;Times;Serif" w:hAnsi="Times New Roman;Times;Serif"/>
          <w:b w:val="false"/>
          <w:i w:val="false"/>
          <w:caps w:val="false"/>
          <w:smallCaps w:val="false"/>
          <w:sz w:val="20"/>
        </w:rPr>
        <w:t>” means an event, change, development, occurrence, condition or effect with respect to the Company and its subsidiaries, taken together as a whole (on a consolidated basis), that, individually or in the aggregate, would reasonably be expected to have a material adverse effect on the Company’s ability to consummate the transactions contemplated hereby, including the issuance and sale of the Subscribed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Subscription Closing Date, the Subscribed Shares will be duly authorized and, when issued and delivered to Subscriber against full payment therefor in accordance with the terms of this Subscription Agreement,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Subscription Agreement has been duly authorized, executed and delivered by the Company, and, assuming the due authorization, execution and delivery of the same by Subscriber, this Subscription Agreement shall constitute the valid and legally binding obligation of the Company, enforceable against the Company in accordance with its terms, except as such enforceability may be limited by bankruptcy, insolvency, reorganization, moratorium and similar laws affecting the rights of creditors generally and by the availability of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authorized share capital of the Company is US$50,000 divided into 750,000,000 Ordinary Shares. The Company’s issued and outstanding share capital is as set forth in the most recent SEC Filing containing such disclosure as of the date indicated in such SEC Filing (except for subsequent issuances, if any, pursuant to this Subscription Agreement and the Other Subscription Agreements or pursuant to reservations, agreements or employee benefit plans, in each case, referred to in the SEC Filings, pursuant to the exercise of convertible securities or options or the vesting of future awards referred to in the SEC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Assuming the accuracy of the representations and warranties of Subscriber, the execution and delivery of this Subscription Agreement, the issuance and sale of the Subscribed Shares and the compliance by the Company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Company’s sixth amended and restated memorandum and articles of association; or (iii) any statute or any judgment, order, rule or regulation of any court or Governmental Authority or body, domestic or foreign, having jurisdiction over the Company or any of its properties that, in the case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would reasonably be expected to have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Assuming the accuracy of the representations and warranties of Subscriber, the Company is not required to obtain any consent, waiver, authorization or order of, give any notice to, or make any filing or registration with, any court or U.S. federal, state, local or other Governmental Authority, self-regulatory organization or other person in connection with the execution, delivery and performance by the Company of this Subscription Agreement (including, without limitation, the issuance of the Subscribed Shares), other than (i) filings required by applicable local or U.S. state securities laws, (ii) filings required by the Stock Exchange in connection with the listing of the Subscribed Shares, and (iii) filings, the failure of which to obtain would not be reasonably likely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has timely filed all SEC Filings. At the time of filing thereof, the SEC Filings conformed in all material respects to the requirements of the Securities Act or the Exchange Act, as applicable, and the rules and regulations of the SEC thereunder and none of the SEC Filings, as of their respective dates, contained an untrue statement of a material fact or omitted to state a material fact required to be stated therein or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Other than as disclosed in the SEC Filings, the Company is in compliance with applicable Stock Exchange continued listing requirements. The issued and outstanding Ordinary Shares are registered pursuant to Section 12(b) of the Exchange Act and are listed for trading on the Stock Exchange under the symbol “LITB.” Other than as disclosed in the SEC Filings, there is no suit, action, proceeding or investigation pending or, to the knowledge of the Company, threatened against the Company by the Stock Exchange or the SEC with respect to any intention by such entity to deregister the Ordinary Shares or prohibit or terminate the listing of the Ordinary Shares on the Stock Exchange. The Company has taken no action that is designed to, or is reasonably likely to, terminate the registration of the Ordinary Shares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Neither the Company nor any person acting on its behalf has engaged or will engage in any form of general solicitation or general advertising (within the meaning of Regulation D under the Securities Act) in connection with any offer or sale of the Subscribed Shares. Assuming the accuracy of the undersigned’s representations and warranties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the undersigned’s compliance with its obligations set forth in this Subscription Agreement, no registration under the Securities Act is required for the offer and sale of the Subscribed Shares to the undersigned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is not, and immediately after receipt of payment for the Subscribed Shares will not be, an “investment company” within the meaning of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Subscriber Representations and Warranties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Subscriber represents and warrants to the Company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Subscriber is a legal entity, Subscriber (i) is duly organized, validly existing and in good standing under the laws of its jurisdiction of incorporation or organization and (ii) has the requisite power and authority to enter into, deliver and perform its obligations under this Subscription Agreement. If Subscriber is an individual, Subscriber has the legal competence and capacity to enter into, deliver and perform its obligations under this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Subscriber is a legal entity, this Subscription Agreement has been duly authorized, executed and delivered by Subscriber. If Subscriber is an individual, Subscriber’s signature is genuine and the signatory has the legal competence and capacity to execute this Subscription Agreement.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execution, delivery and performance by Subscriber of this Subscription Agreement, the purchase of the Subscribed Shares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if Subscriber is a legal entity, the organizational documents of Subscriber; or (iii) any statute or any judgment, order, rule or regulation of any court or Governmental Authority or body, domestic or foreign, having jurisdiction over Subscriber or any of its properties that, in the case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would reasonably be expected to have a Subscriber Material Adverse Effect. For purposes of this Subscription Agreement, a “</w:t>
      </w:r>
      <w:r>
        <w:rPr>
          <w:rFonts w:ascii="Times New Roman;Times;Serif" w:hAnsi="Times New Roman;Times;Serif"/>
          <w:b/>
          <w:i w:val="false"/>
          <w:caps w:val="false"/>
          <w:smallCaps w:val="false"/>
          <w:sz w:val="20"/>
          <w:u w:val="single"/>
        </w:rPr>
        <w:t>Subscriber Material Adverse Effect</w:t>
      </w:r>
      <w:r>
        <w:rPr>
          <w:rFonts w:ascii="Times New Roman;Times;Serif" w:hAnsi="Times New Roman;Times;Serif"/>
          <w:b w:val="false"/>
          <w:i w:val="false"/>
          <w:caps w:val="false"/>
          <w:smallCaps w:val="false"/>
          <w:sz w:val="20"/>
        </w:rPr>
        <w:t>” means an event, change, development, occurrence, condition or effect with respect to Subscriber that would reasonably be expected to have a material adverse effect on Subscriber’s ability to consummate the transactions contemplated hereby, including the purchase of the Subscribed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Subscriber (i) is a “qualified institutional buyer” (as defined in Rule 144A under the Securities Act) or an institutional “accredited investor” (within the meaning of Rule 501(a) under the Securities Act), (ii) is acquiring the Subscribed Shares only for its own account and not for the account of others, or, if Subscriber is subscribing for the Subscribed Shares as a fiduciary or agent for one or more investor accounts, each owner of such account is a qualified institutional buyer or an accredited investor and Subscriber has full investment discretion with respect to each such account, and the full power and authority to make the acknowledgements, representations and agreements herein on behalf of each owner of each such account, and (iii) is not acquiring the Subscribed Shares with a view to, or for offer or sale in connection with, any distribution thereof in violation of the Securities Act. Subscriber is not an entity formed for the specific purpose of acquiring the Subscribed Shares, unless such newly formed entity is an entity in which all of the equity owners are accredited investors and is an “institutional account” as defined by FINRA Rule 4512(c).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Subscriber understands that the Subscribed Shares are being offered in a transaction not involving any public offering within the meaning of the Securities Act and that the Subscribed Shares have not been registered under the Securities Act and that the Company is not required to register the Subscribed Shares except as set forth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Subscriber understands that the Subscribed Shares may not be offered, resold, transferred, pledged or otherwise disposed of by Subscriber absent an effective registration statement under the Securities Act, except (i) to the Company or a subsidiary thereof, or (ii) pursuant to an applicable exemption from the registration requirements of the Securities Act, and, in each of cases (i) and (ii), in accordance with any applicable securities Laws of the applicable states and other jurisdictions of the United States, and as a result of these transfer restrictions, Subscriber may not be able to readily resell the Subscribed Shares and may be required to bear the financial risk of an investment in the Subscribed Shares for an indefinite period of time. Subscriber acknowledges and agrees that the Subscribed Shares will not be initially eligible for offer, resale, transfer, pledge or disposition pursuant to Rule 144 promulgated under the Securities Act (“</w:t>
      </w:r>
      <w:r>
        <w:rPr>
          <w:rFonts w:ascii="Times New Roman;Times;Serif" w:hAnsi="Times New Roman;Times;Serif"/>
          <w:b/>
          <w:i w:val="false"/>
          <w:caps w:val="false"/>
          <w:smallCaps w:val="false"/>
          <w:sz w:val="20"/>
          <w:u w:val="single"/>
        </w:rPr>
        <w:t>Rule 144</w:t>
      </w:r>
      <w:r>
        <w:rPr>
          <w:rFonts w:ascii="Times New Roman;Times;Serif" w:hAnsi="Times New Roman;Times;Serif"/>
          <w:b w:val="false"/>
          <w:i w:val="false"/>
          <w:caps w:val="false"/>
          <w:smallCaps w:val="false"/>
          <w:sz w:val="20"/>
        </w:rPr>
        <w:t>”). Subscriber understands that it has been advised to consult legal counsel prior to making any offer, resale, pledge or transfer of any of the Subscribed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Subscriber understands that each book entry for the Subscribed Shares shall contain a notation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AGREES FOR THE BENEFIT OF LIGHTINTHEBOX HOLDING CO., LTD. (THE “COMPANY”) THAT IT WILL NOT OFFER, SELL, PLEDGE OR OTHERWISE TRANSFER THIS SECURITY OR ANY BENEFICIAL INTEREST HEREIN PRIOR TO THE DATE THAT IS THE LATER OF (X) SUCH PERIOD OF TIME AS PERMITTED BY RULE 144 UNDER THE SECURITIES ACT OR ANY SUCCESSOR PROVISION THERETO AND (Y) SUCH LATER DATE, IF ANY, AS MAY BE REQUIRED BY APPLICABLE LAW,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THAT HAS BECOME EFFECTIVE UNDER THE SECURITIES ACT AND IS EFFECTIVE AT THE TIME OF SUCH TRANSFER,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PURSUANT TO AN EXEMPTION FROM REGISTRATION PROVIDED BY RULE 144 UNDER THE SECURITIES ACT OR ANY OTHER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(1)(C) ABOVE, THE COMPANY AND THE TRANSFER AGENT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Subscriber understands and agrees that Subscriber is purchasing the Subscribed Shares directly from the Company. Subscriber further acknowledges that there have not been, and Subscriber hereby agrees that it is not relying on, any representations, warranties, covenants or agreements made to Subscriber by the Company, any of its affiliates or any control persons, officers, directors, employees, partners, agents or representatives, any other party to the transactions contemplated herein or any other person or entity, expressly or by implication, other than those representations, warranties, covenants and agreements of the Company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Subscriber acknowledges that certain information provided by the Company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 Subscriber further acknowledges that the information provided to Subscriber was preliminary and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 making its decision to purchase the Subscribed Shares, Subscriber has relied solely upon independent investigation made by Subscriber and the representations and warranties made by the Company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Subscriber acknowledges and agrees that Subscriber has received such information as Subscriber deems necessary in order to make an investment decision with respect to the Subscribed Shares, including with respect to the Company and the transactions contemplated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Subscriber represents and agrees that Subscriber and Subscriber’s professional advisors, if any, have had the full opportunity to ask such questions, receive such answers and obtain such information as Subscriber and such undersigned’s professional advisors, if any, have deemed necessary to make an investment decision with respect to the Subscribed Shares. Without limiting the generality of the foregoing, the Subscriber acknowledges that it has reviewed the SEC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Subscriber acknowledges that (A) the Company currently may have, and later may come into possession of, information regarding the Company that is not known to Subscriber and that may be material to a decision to enter into this transaction (“</w:t>
      </w:r>
      <w:r>
        <w:rPr>
          <w:rFonts w:ascii="Times New Roman;Times;Serif" w:hAnsi="Times New Roman;Times;Serif"/>
          <w:b/>
          <w:i w:val="false"/>
          <w:caps w:val="false"/>
          <w:smallCaps w:val="false"/>
          <w:sz w:val="20"/>
          <w:u w:val="single"/>
        </w:rPr>
        <w:t>Excluded Information</w:t>
      </w:r>
      <w:r>
        <w:rPr>
          <w:rFonts w:ascii="Times New Roman;Times;Serif" w:hAnsi="Times New Roman;Times;Serif"/>
          <w:b w:val="false"/>
          <w:i w:val="false"/>
          <w:caps w:val="false"/>
          <w:smallCaps w:val="false"/>
          <w:sz w:val="20"/>
        </w:rPr>
        <w:t>”), (B) Subscriber has determined to enter into this transaction notwithstanding its lack of knowledge of the Excluded Information, and (C) the Company shall not have liability to Subscriber, and Subscriber hereby to the extent permitted by law waives and releases any claims it may have against the Company with respect to the nondisclosure of the Excluded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Subscriber became aware of this offering of the Subscribed Shares solely by means of direct contact between Subscriber and the Company or one of its representatives or affiliates, and the Subscribed Shares were offered to Subscriber solely by direct contact between Subscriber and the Company (or its representative or affiliate). Subscriber did not become aware of this offering of the Subscribed Shares, nor were the Subscribed Shares offered to Subscriber, by any other means. Subscriber acknowledges that the Subscribed Shares (i) were not offered by any form of general solicitation or general advertising (within the meaning of Regulation D of the Securities Act) and (ii) are not being offered in a manner involving a public offering under, or in a distribution in violation of, the Securities Act, or any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Subscriber acknowledges that it is aware that there are substantial risks incident to the purchase and ownership of the Subscribed Shares, including those set forth in the Company’s filings with the SEC. Subscriber has such knowledge and experience in financial and business matters as to be capable of evaluating the merits and risks of an investment in the Subscribed Shares, and Subscriber has had an opportunity to seek, and has sought, such accounting, legal, business and tax advice as Subscriber has considered necessary to make an informed investment decision. Neither the Company nor any of its affiliates have offered Subscriber any tax advice relating to Subscriber’s investment in the Subscribed Shares, or made any representations, warranties or guarantees regarding the tax consequences of Subscriber’s investment in the Subscribed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Alone, or together with any professional advisors, Subscriber has adequately analyzed and fully considered the risks of an investment in the Subscribed Shares and determined that the Subscribed Shares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Subscriber understands and agrees that no federal or state agency or any other government or Governmental Authority (whether foreign or domestic) has passed upon or endorsed the merits of the offering of the Subscribed Shares or made any findings or determination as to the fairness of this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Subscriber is not, and is not owned or controlled by or acting on behalf of (in connection with the transactions contemplated hereby), a Sanctioned Person. Subscriber is not a non-U.S. shell bank or providing banking services to a non-U.S. shell bank. Subscriber represents that if it is a financial institution subject to the Bank Secrecy Act (31 U.S.C. Section 5311 et seq.), as amended by the USA PATRIOT Act of 2001 and its implementing regulations (collectively, the “</w:t>
      </w:r>
      <w:r>
        <w:rPr>
          <w:rFonts w:ascii="Times New Roman;Times;Serif" w:hAnsi="Times New Roman;Times;Serif"/>
          <w:b/>
          <w:i w:val="false"/>
          <w:caps w:val="false"/>
          <w:smallCaps w:val="false"/>
          <w:sz w:val="20"/>
          <w:u w:val="single"/>
        </w:rPr>
        <w:t>BSA/PATRIOT Act</w:t>
      </w:r>
      <w:r>
        <w:rPr>
          <w:rFonts w:ascii="Times New Roman;Times;Serif" w:hAnsi="Times New Roman;Times;Serif"/>
          <w:b w:val="false"/>
          <w:i w:val="false"/>
          <w:caps w:val="false"/>
          <w:smallCaps w:val="false"/>
          <w:sz w:val="20"/>
        </w:rPr>
        <w:t>”), that Subscriber maintains policies and procedures reasonably designed to comply with applicable obligations under the BSA/PATRIOT Act. Subscriber also represents that, to the extent required by applicable law, it maintains, either directly or through the use of a third-party administrator, policies and procedures reasonably designed for the screening of any investors against Sanctions-related lists of blocked or restricted persons. Subscriber further represents and warrants that the funds held by Subscriber and used to purchase the Subscribed Shares are derived from lawful activities. For purposes of this Subscription Agreement, “</w:t>
      </w:r>
      <w:r>
        <w:rPr>
          <w:rFonts w:ascii="Times New Roman;Times;Serif" w:hAnsi="Times New Roman;Times;Serif"/>
          <w:b/>
          <w:i w:val="false"/>
          <w:caps w:val="false"/>
          <w:smallCaps w:val="false"/>
          <w:sz w:val="20"/>
          <w:u w:val="single"/>
        </w:rPr>
        <w:t>Sanctioned Person</w:t>
      </w:r>
      <w:r>
        <w:rPr>
          <w:rFonts w:ascii="Times New Roman;Times;Serif" w:hAnsi="Times New Roman;Times;Serif"/>
          <w:b w:val="false"/>
          <w:i w:val="false"/>
          <w:caps w:val="false"/>
          <w:smallCaps w:val="false"/>
          <w:sz w:val="20"/>
        </w:rPr>
        <w:t>” means at any time any person or entity: (i) listed on any Sanctions-related list of designated or blocked or restricted persons, (ii) that is a national of, the government of, or any agency or instrumentality of the government of, or resident in, or organized under the laws of, a country or territory that is the target of comprehensive Sanctions from time to time (as of the date of this Subscription Agreement, Cuba, Iran, North Korea, Syria, and the Crimea region) or (iii) owned or controlled by or acting on behalf of any of the foregoing. “</w:t>
      </w:r>
      <w:r>
        <w:rPr>
          <w:rFonts w:ascii="Times New Roman;Times;Serif" w:hAnsi="Times New Roman;Times;Serif"/>
          <w:b/>
          <w:i w:val="false"/>
          <w:caps w:val="false"/>
          <w:smallCaps w:val="false"/>
          <w:sz w:val="20"/>
          <w:u w:val="single"/>
        </w:rPr>
        <w:t>Sanctions</w:t>
      </w:r>
      <w:r>
        <w:rPr>
          <w:rFonts w:ascii="Times New Roman;Times;Serif" w:hAnsi="Times New Roman;Times;Serif"/>
          <w:b w:val="false"/>
          <w:i w:val="false"/>
          <w:caps w:val="false"/>
          <w:smallCaps w:val="false"/>
          <w:sz w:val="20"/>
        </w:rPr>
        <w:t>” means those trade, economic and financial sanctions laws, regulations, embargoes, and restrictive measures (in each case having the force of law) administered, enacted or enforced from time to time by (A) the United States (including without limitation the U.S. Department of the Treasury, Office of Foreign Assets Control, the U.S. Department of State, and the U.S. Department of Commerce), (B) the European Union and enforced by its member states, (C) the United Nations and (D) Her Majesty’s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Subscriber, together with its affiliates that will hold the Subscribed Shares, are not currently (and at all times through the Closing will refrain from being or becoming) members of a “group” (within the meaning of Section 13(d)(3) or Section 14(d)(2) of the Exchange Act or any successor provision) acting for the purpose of acquiring, holding, voting or disposing of equity securities of the Company (within the meaning of Rule 13d-5(b)(1)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No foreign person (as defined in 31 C.F.R. Part 800.224) in which the national or subnational governments of a single foreign state have a substantial interest (as defined in 31 C.F.R. Part 800.244) will acquire a substantial interest in the Company as a result of the purchase and sale of Subscribed Shares hereunder such that a declaration to the Committee on Foreign Investment in the United States would be mandatory under 31 C.F.R. Part 800.401, and no foreign person will have control (as defined in 31 C.F.R. Part 800.208) over the Company from and after the Closing as a result of the purchase and sale of Subscribed Shares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If Subscriber is an employee benefit plan that is subject to Title I of the Employee Retirement Income Security Act of 1974, as amended (“</w:t>
      </w:r>
      <w:r>
        <w:rPr>
          <w:rFonts w:ascii="Times New Roman;Times;Serif" w:hAnsi="Times New Roman;Times;Serif"/>
          <w:b/>
          <w:i w:val="false"/>
          <w:caps w:val="false"/>
          <w:smallCaps w:val="false"/>
          <w:sz w:val="20"/>
          <w:u w:val="single"/>
        </w:rPr>
        <w:t>ERISA</w:t>
      </w:r>
      <w:r>
        <w:rPr>
          <w:rFonts w:ascii="Times New Roman;Times;Serif" w:hAnsi="Times New Roman;Times;Serif"/>
          <w:b w:val="false"/>
          <w:i w:val="false"/>
          <w:caps w:val="false"/>
          <w:smallCaps w:val="false"/>
          <w:sz w:val="20"/>
        </w:rPr>
        <w:t>”), a plan, an individual retirement account or other arrangement that is subject to section 4975 of the Internal Revenue Code of 1986, as amended (the “</w:t>
      </w:r>
      <w:r>
        <w:rPr>
          <w:rFonts w:ascii="Times New Roman;Times;Serif" w:hAnsi="Times New Roman;Times;Serif"/>
          <w:b/>
          <w:i w:val="false"/>
          <w:caps w:val="false"/>
          <w:smallCaps w:val="false"/>
          <w:sz w:val="20"/>
          <w:u w:val="single"/>
        </w:rPr>
        <w:t>Code</w:t>
      </w:r>
      <w:r>
        <w:rPr>
          <w:rFonts w:ascii="Times New Roman;Times;Serif" w:hAnsi="Times New Roman;Times;Serif"/>
          <w:b w:val="false"/>
          <w:i w:val="false"/>
          <w:caps w:val="false"/>
          <w:smallCaps w:val="false"/>
          <w:sz w:val="20"/>
        </w:rPr>
        <w:t>”)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Times New Roman;Times;Serif" w:hAnsi="Times New Roman;Times;Serif"/>
          <w:b/>
          <w:i w:val="false"/>
          <w:caps w:val="false"/>
          <w:smallCaps w:val="false"/>
          <w:sz w:val="20"/>
          <w:u w:val="single"/>
        </w:rPr>
        <w:t>Plan</w:t>
      </w:r>
      <w:r>
        <w:rPr>
          <w:rFonts w:ascii="Times New Roman;Times;Serif" w:hAnsi="Times New Roman;Times;Serif"/>
          <w:b w:val="false"/>
          <w:i w:val="false"/>
          <w:caps w:val="false"/>
          <w:smallCaps w:val="false"/>
          <w:sz w:val="20"/>
        </w:rPr>
        <w:t>”) subject to the fiduciary or prohibited transaction provisions of ERISA or section 4975 of the Code, Subscriber represents and warrants that (i) neither the Company, nor any of its respective affiliates (the “</w:t>
      </w:r>
      <w:r>
        <w:rPr>
          <w:rFonts w:ascii="Times New Roman;Times;Serif" w:hAnsi="Times New Roman;Times;Serif"/>
          <w:b/>
          <w:i w:val="false"/>
          <w:caps w:val="false"/>
          <w:smallCaps w:val="false"/>
          <w:sz w:val="20"/>
          <w:u w:val="single"/>
        </w:rPr>
        <w:t>Transaction Parties</w:t>
      </w:r>
      <w:r>
        <w:rPr>
          <w:rFonts w:ascii="Times New Roman;Times;Serif" w:hAnsi="Times New Roman;Times;Serif"/>
          <w:b w:val="false"/>
          <w:i w:val="false"/>
          <w:caps w:val="false"/>
          <w:smallCaps w:val="false"/>
          <w:sz w:val="20"/>
        </w:rPr>
        <w:t>”) has acted as the Plan’s fiduciary, or has been relied on for advice, with respect to its decision to acquire and hold the Subscribed Shares, and none of the Transaction Parties shall at any time be relied upon as the Plan’s fiduciary with respect to any decision to acquire, continue to hold or transfer the Subscribed Shares and (ii) the acquisition and holding of the Subscribed Shares will not result in a non-exempt prohibited transaction under ERISA or Section 4975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Subscriber has or has commitments to have, and, when required to deliver payment to the Company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above, will have, sufficient funds to pay the Purchase Price and to consummate the purchase of the Subscribed Shares when required pursuant to this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At all times at or prior to the Closing, Subscriber has no binding commitment to dispose of, or otherwise transfer (directly or indirectly), any of the Subscribed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Subscriber acknowledges its obligations under applicable securities laws with respect to the treatment of non-public information relating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Subscriber has no present intent to effect a “change of control” of the Company as such term is understood under the rules promulgated pursuant to Section 13(d) of the Exchange Act and under the rules of the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Registration Rights; Lock-Up</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within one hundred twenty (120) calendar days following the Closing, file with the SEC (at the Company’s sole cost and expense) a registration statement on Form F-3 or such other form of registration statement as is then available (the “</w:t>
      </w:r>
      <w:r>
        <w:rPr>
          <w:rFonts w:ascii="Times New Roman;Times;Serif" w:hAnsi="Times New Roman;Times;Serif"/>
          <w:b/>
          <w:i w:val="false"/>
          <w:caps w:val="false"/>
          <w:smallCaps w:val="false"/>
          <w:sz w:val="20"/>
          <w:u w:val="single"/>
        </w:rPr>
        <w:t>Registration Statement</w:t>
      </w:r>
      <w:r>
        <w:rPr>
          <w:rFonts w:ascii="Times New Roman;Times;Serif" w:hAnsi="Times New Roman;Times;Serif"/>
          <w:b w:val="false"/>
          <w:i w:val="false"/>
          <w:caps w:val="false"/>
          <w:smallCaps w:val="false"/>
          <w:sz w:val="20"/>
        </w:rPr>
        <w:t>”) registering the resale of Subscribed Shares, and the Company shall use its commercially reasonable efforts to cause the Registration Statement to be declared effective as soon as practicable after the filing thereof, but no later than the earlier of (i) the sixtieth (60th) calendar day (if the SEC notifies the Company that it will “review” such Registration Statement) following the day in which the Company initially filed the Registration Statement and (ii) the tenth (10th) Business Day after the date the Company is notified (orally or in writing, whichever is earlier) by the SEC that such Registration Statement will not be “reviewed” or will not be subject to further review (such date, the “</w:t>
      </w:r>
      <w:r>
        <w:rPr>
          <w:rFonts w:ascii="Times New Roman;Times;Serif" w:hAnsi="Times New Roman;Times;Serif"/>
          <w:b/>
          <w:i w:val="false"/>
          <w:caps w:val="false"/>
          <w:smallCaps w:val="false"/>
          <w:sz w:val="20"/>
          <w:u w:val="single"/>
        </w:rPr>
        <w:t>Effectiveness Deadline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Company’s obligations to include Subscriber’s Subscribed Shares in the Registration Statement are contingent upon Subscriber furnishing in writing to the Company such information regarding Subscriber, the securities of the Company held by Subscriber and the intended method of distribution of the Subscribed Shares (which shall be limited to non-underwritten public offerings) as shall be reasonably requested by the Company to effect the registration of the Subscribed Shares, and shall execute such documents in connection with such registration as the Company may reasonably request that are customary of a selling shareholder in similar situations. The Company agrees that, except for such times as the Company is permitted hereunder to suspend the use of the prospectus forming part of a Registration Statement, the Company will use its reasonable best efforts to, at its expense, cause such Registration Statement or another registration statement (which may be a “shelf registration statement”) to remain effective with respect to Subscriber, keep any qualification, exemption or compliance under state securities laws which the Company determines to obtain continuously effective with respect to Subscriber, and to keep the applicable Registration Statement or any subsequent shelf registration statement free of any material misstatements or omissions, until the earliest of (i) the date on which all of the Subscribed Shares shall have been sold, (ii) the first date on which the undersigned can sell all of its Subscribed Shares under Rule 144 of the Securities Act without limitation as to the manner of sale, the amount of such securities that may be sold and without the requirement for the Company to be in compliance with the current public information required under Rule 144, and (iii) three years after the initial Registration Statement filed hereunder is declared effective;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be entitled to delay the filing or postpone the effectiveness of the Registration Statement, and from time to time to require Subscriber not to sell under the Registration Statement or to suspend the effectiveness thereof, if (A) the Company’s board of directors (the “</w:t>
      </w:r>
      <w:r>
        <w:rPr>
          <w:rFonts w:ascii="Times New Roman;Times;Serif" w:hAnsi="Times New Roman;Times;Serif"/>
          <w:b/>
          <w:i w:val="false"/>
          <w:caps w:val="false"/>
          <w:smallCaps w:val="false"/>
          <w:sz w:val="20"/>
          <w:u w:val="single"/>
        </w:rPr>
        <w:t>Company Board</w:t>
      </w:r>
      <w:r>
        <w:rPr>
          <w:rFonts w:ascii="Times New Roman;Times;Serif" w:hAnsi="Times New Roman;Times;Serif"/>
          <w:b w:val="false"/>
          <w:i w:val="false"/>
          <w:caps w:val="false"/>
          <w:smallCaps w:val="false"/>
          <w:sz w:val="20"/>
        </w:rPr>
        <w:t>”) reasonably determines that in order for the Registration Statement not to contain a material misstatement or omission, an amendment thereto would be needed, (B) the negotiation or consummation of a transaction by the Company or its subsidiaries is pending or an event has occurred, which negotiation, consummation or event the Company Board reasonably believes would require additional disclosure by the Company in the Registration Statement of material information that the Company has a bona fide business purpose for keeping confidential and the non-disclosure of which in the Registration Statement would be expected, in the reasonable determination of the Company Board to cause the Registration Statement to fail to comply with applicable disclosure requirements or (C) in the reasonable judgment of the Company Board, such filing or effectiveness or use of such Registration Statement would be seriously detrimental to the Company (such circumstance, a “</w:t>
      </w:r>
      <w:r>
        <w:rPr>
          <w:rFonts w:ascii="Times New Roman;Times;Serif" w:hAnsi="Times New Roman;Times;Serif"/>
          <w:b/>
          <w:i w:val="false"/>
          <w:caps w:val="false"/>
          <w:smallCaps w:val="false"/>
          <w:sz w:val="20"/>
          <w:u w:val="single"/>
        </w:rPr>
        <w:t>Suspension Event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the Company may not delay or suspend the Registration Statement for more than 60 consecutive calendar days or for more than 120 calendar days in any 360 day period. Upon receipt of any written notice from the Company (which notice shall not contain any material non-public information regarding the Company)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(1) it will immediately discontinue offers and sales of the Subscribed Shares under the Registration Statement (excluding, for the avoidance of doubt, sales conducted pursuant to Rule 144) until Subscriber receives copies of a supplemental or amended prospectus (which the Company agrees to promptly prepare) that corrects the misstatements or omissions referred to above and receives notice that any post-effective amendment has become effective or unless otherwise notified by the Company that it may resume such offers and sales, and (2) it will maintain the confidentiality of any information included in such written notice delivered by the Company unless otherwise required by law or subpoena. If so directed by the Company, Subscriber will deliver to the Company or, in Subscriber’s sole discretion destroy, all copies of the prospectus covering the Subscribed Shares in Subscriber’s possession;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this obligation to deliver or destroy all copies of the prospectus covering the Subscribed Shares shall not apply (I) to the extent Subscriber is required to retain a copy of such prospectus (x) in order to comply with applicable legal, regulatory, self-regulatory or professional requirements or (y) in accordance with a bona fide pre-existing document retention policy or (II) to copies stored electronically on archival servers as a result of automatic data back-up. Notwithstanding the foregoing, if the SEC prevents the Company from including any or all of the Ordinary Shares proposed to be registered under the Registration Statement due to limitations on the use of Rule 415 of the Securities Act for the resale of the Ordinary Shares by the applicable shareholders or otherwise, such Registration Statement shall register for resale such number of Subscribed Shares which is equal to the maximum number of Subscribed Shares as is permitted by the Commission. In such event, the number of Subscribed Shares to be registered for each selling shareholder named in the Registration Statement shall be reduced pro rata among all such selling shareholders, and as promptly as practicable after being permitted to register additional Subscribed Shares under Rule 415 under the Securities Act, the Company shall file a new Registration Statement to register such Subscribed Shares not included in the initial Registration Statement and cause such Registration Statement to become effective as promptly as practicable consistent with the terms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In no event shall Subscriber be identified as a statutory underwriter in the Registration Statement unless in response to a comment or request from the staff of the SEC or another regulatory agency; provided, however, that if the SEC requests that Subscriber be identified as a statutory underwriter in the Registration Statement, Subscriber will have an opportunity to withdraw from the Registration Statement. Subscriber shall not be entitled to use the Registration Statement for an underwritten offering of Subscribed Shares and notwithstanding anything to the contrary in this Subscription Agreement, the Company shall not have any obligation to prepare any prospectus supplement, participate in any due diligence, execute any agreements or certificates or deliver legal opinions or obtain comfort letters in connection with any sales of the Subscribed Shares under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promptly advise Subscriber within two (2) Business Days: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when a Registration Statement or any amendment thereto has been filed with the SEC and when such Registration Statement or any post-effective amendment thereto has become effective;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of any request by the SEC for amendments or supplements to any Registration Statement or the prospectus included therein or for additional information;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of the issuance by the SEC of any stop order suspending the effectiveness of any Registration Statement or the initiation of any proceedings for such purpose;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9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of the receipt by the Company of any notification with respect to the suspension of the qualification of the Subscribed Shares included therein for sale in any jurisdiction or the initiation or threatening of any proceeding for such purpose;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set forth herein, the Company shall not, when so advising Subscriber of such events, provide Subscriber with any material, non-public information regarding the Company other than to the extent that providing notice to Subscriber of the occurrence of the events listed in (i) through (v) above constitutes material, non-public information regarding the Company or subjects the Subscriber to any duty of 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use its commercially reasonable efforts to obtain the withdrawal of any order suspending the effectiveness of any Registration Statement if such order should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for such times as the Company is permitted hereunder to suspend, and has suspended, the use of a prospectus forming part of a Registration Statement as contemplated by this Subscription Agreement, the Company shall use its reasonable best efforts to as soon as reasonably practicable prepare a post-effective amendment to such Registration Statement or a supplement to the related prospectus, or file any other required document so that, as thereafter delivered to purchasers of the Subscribed Shares included therein, such prospectus will not include any untrue statement of a material fact or omit to state any material fact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use its reasonable best efforts to cause all Subscribed Shares to be listed on each securities exchange or automated quotation system, if any, on which the Ordinary Shares have been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will use its commercially reasonable efforts to (A) at the reasonable request of Subscriber, deliver all the necessary documentation to cause the transfer agent to the Company to remove all restrictive legends from any of the Subscribed Shares being sold under the Registration Statement or pursuant to Rule 144 at the time of sale of such Subscribed Shares, or that may be sold by Subscriber without restriction under Rule 144, including without limitation, any volume, information and manner of sale restrictions, and (B) deliver or cause its legal counsel to deliver to the transfer agent to the Company the necessary legal opinions or instruction letters required by the transfer agent to the Company, if any, in connection with the instruction under clause (A), in each case in the case of clauses (A) and (B), upon the receipt of Subscriber’s representation letters and such other customary supporting documentation as requested by (and in a form reasonably acceptable to) the Company and its counsel. Subscriber agrees to disclose their respective beneficial ownership, as determined in accordance with Rule 13d-3 of the Exchange Act, of Subscribed Shares to the Company (or its successor) upon reasonable request to assist the Company in making the determination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Lock-Up. For a period of six (6) months after the Closing, Subscriber agrees not to sell, offer to sell, contract or otherwise agree to sell, or otherwise transfer or dispose of, directly or indirectly, any of the Subscribed Shares held by Subscriber or any Person affiliated with Subscriber. For purposes of this </w:t>
      </w:r>
      <w:r>
        <w:rPr>
          <w:rFonts w:ascii="Times New Roman;Times;Serif" w:hAnsi="Times New Roman;Times;Serif"/>
          <w:b w:val="false"/>
          <w:i w:val="false"/>
          <w:caps w:val="false"/>
          <w:smallCaps w:val="false"/>
          <w:sz w:val="20"/>
          <w:u w:val="single"/>
        </w:rPr>
        <w:t>Section 5(g)</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means and includes all natural persons, corporations, business trusts, associations, companies, partnerships, joint ventures, limited liability companies and other entities and governments and agencies and political subdivisions.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Subscriber may deliver written notice (an “</w:t>
      </w:r>
      <w:r>
        <w:rPr>
          <w:rFonts w:ascii="Times New Roman;Times;Serif" w:hAnsi="Times New Roman;Times;Serif"/>
          <w:b/>
          <w:i w:val="false"/>
          <w:caps w:val="false"/>
          <w:smallCaps w:val="false"/>
          <w:sz w:val="20"/>
          <w:u w:val="single"/>
        </w:rPr>
        <w:t>Opt-Out Notice</w:t>
      </w:r>
      <w:r>
        <w:rPr>
          <w:rFonts w:ascii="Times New Roman;Times;Serif" w:hAnsi="Times New Roman;Times;Serif"/>
          <w:b w:val="false"/>
          <w:i w:val="false"/>
          <w:caps w:val="false"/>
          <w:smallCaps w:val="false"/>
          <w:sz w:val="20"/>
        </w:rPr>
        <w:t xml:space="preserve">”) to the Company requesting that Subscriber not receive notices from the Company otherwise required by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provided, however, that Subscriber may later revoke any such Opt-Out Notice in writing. Following receipt of an Opt-Out Notice from Subscriber (unless subsequently revoked), (i) the Company shall not deliver any such notices to Subscriber and Subscriber shall no longer be entitled to the rights associated with any such notice and (ii) each time prior to Subscriber’s intended use of an effective Registration Statement, Subscriber will notify the Company in writing at least two (2) Business Days in advance of such intended use, and if a notice of a Suspension Event was previously delivered (or would have been delivered but for the provisions of this </w:t>
      </w:r>
      <w:r>
        <w:rPr>
          <w:rFonts w:ascii="Times New Roman;Times;Serif" w:hAnsi="Times New Roman;Times;Serif"/>
          <w:b w:val="false"/>
          <w:i w:val="false"/>
          <w:caps w:val="false"/>
          <w:smallCaps w:val="false"/>
          <w:sz w:val="20"/>
          <w:u w:val="single"/>
        </w:rPr>
        <w:t>Section 5(h)</w:t>
      </w:r>
      <w:r>
        <w:rPr>
          <w:rFonts w:ascii="Times New Roman;Times;Serif" w:hAnsi="Times New Roman;Times;Serif"/>
          <w:b w:val="false"/>
          <w:i w:val="false"/>
          <w:caps w:val="false"/>
          <w:smallCaps w:val="false"/>
          <w:sz w:val="20"/>
        </w:rPr>
        <w:t>) and the related suspension period remains in effect, the Company will so notify Subscriber, within one (1) Business Day of Subscriber’s notification to the Company, by delivering to Subscriber a copy of such previous notice of Suspension Event, and thereafter will provide Subscriber with the related notice of the conclusion of such Suspension Event promptly following its 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Except for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w:t>
      </w:r>
      <w:r>
        <w:rPr>
          <w:rFonts w:ascii="Times New Roman;Times;Serif" w:hAnsi="Times New Roman;Times;Serif"/>
          <w:b w:val="false"/>
          <w:i w:val="false"/>
          <w:caps w:val="false"/>
          <w:smallCaps w:val="false"/>
          <w:sz w:val="20"/>
        </w:rPr>
        <w:t xml:space="preserve">, which shall survive any termination of this Subscription Agreement, unless otherwise stipulated hereunder, this Subscription Agreement shall terminate and be void and of no further force and effect, and all rights and obligations of the parties hereunder shall terminate without any further liability on the part of any party in respect thereof, upon the mutual written agreement of the parties hereto to terminate this Subscription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nothing herein will relieve any party from liability for any willful breach hereof prior to the time of termination, and each party will be entitled to any remedies at Law or in equity to recover losses, liabilities or damages arising from such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indemnify and hold harmless, to the extent permitted by Law, the Subscriber, its directors, and officers, employees, and agents, and each person who controls the Subscriber (within the meaning of the Securities Act or the Exchange Act) and each affiliate of the Subscriber (within the meaning of Rule 405 under the Securities Act), to the extent the Subscriber is a seller under the Registration Statement, from and against any and all losses, claims, damages, liabilities and expenses (including, without limitation, any reasonable attorneys’ fees and expenses incurred in connection with defending or investigating any such action or claim) caused by any untrue or alleged untrue statement of material fact contained in any Registration Statement, prospectus included in any Registration Statement or preliminary prospectus or any amendment thereof or supplement thereto or any omission or alleged omission of a material fact required to be stated therein or necessary to make the statements therein (in the case of a prospectus, in light of the circumstances in which they were made) not misleading, except insofar as the same are caused by or contained in any information furnished in writing to the Company by or on behalf of the Subscriber expressly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Subscriber agrees, in connection with any Registration Statement under which the Subscriber is a seller, severally and not jointly with any person that is a party to the Other Subscription Agreements, to indemnify and hold harmless the Company, its affiliates and its and its affiliates’ directors, officers, employees and agents, and each person who controls the Company (within the meaning of the Securities Act or the Exchange Act) against any losses, claims, damages, liabilities and expenses (including, without limitation, reasonable attorneys’ fees and expenses incurred in connection with defending or investigating any such action or claim) resulting from any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(in the case of a prospectus, in the light of the circumstances in which they were made) not misleading, but only to the extent that such untrue statement or omission is contained (or not contained, in the case of an omission) in any information or affidavit so furnished by or on behalf of the Subscriber expressly for use therein. In no event shall the liability of the Subscriber be greater in amount than the dollar amount of the net proceeds received by the Subscriber upon the sale of the Subscribed Shares giving rise to such indemnification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(ii)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indemnification provided for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Subscribed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indemnification provided under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(or not made, in the case of an omission) by, or relates to information supplied (or not supplied, in the case of an omission) by or on behalf of,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other limitations set forth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from any person who was not guilty of such fraudulent misrepresentation. Any contribution pursuant to this </w:t>
      </w:r>
      <w:r>
        <w:rPr>
          <w:rFonts w:ascii="Times New Roman;Times;Serif" w:hAnsi="Times New Roman;Times;Serif"/>
          <w:b w:val="false"/>
          <w:i w:val="false"/>
          <w:caps w:val="false"/>
          <w:smallCaps w:val="false"/>
          <w:sz w:val="20"/>
          <w:u w:val="single"/>
        </w:rPr>
        <w:t>Section 7(e)</w:t>
      </w:r>
      <w:r>
        <w:rPr>
          <w:rFonts w:ascii="Times New Roman;Times;Serif" w:hAnsi="Times New Roman;Times;Serif"/>
          <w:b w:val="false"/>
          <w:i w:val="false"/>
          <w:caps w:val="false"/>
          <w:smallCaps w:val="false"/>
          <w:sz w:val="20"/>
        </w:rPr>
        <w:t> by any seller of Subscribed Shares shall be limited in amount to the amount of net proceeds received by such seller from the sale of such Subscribed Shares pursuant to the Registration Statement. Notwithstanding anything to the contrary herein, in no event will any party be liable for consequential, special, exemplary or punitive damages in connection with this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notices, requests, demands, claims, and other communications hereunder shall be in writing and be deemed to have been duly given (i) when delivered in person, (ii) three Business Days after being sent, if sent by registered or certified mail return receipt requested, postage prepaid, (iii) one Business Day after being sent, if sent by FedEx or other nationally recognized overnight delivery service, or (iv) when delivered by email with electronic confirmation of delivery, in each case, addressed to the intended recipient at its address specified on the signature page hereof or to such electronic mail address or address as subsequently modified by written notice given in accordance with this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Subscriber acknowledges that the Company and others have relied and will rely on the acknowledgments, understandings, agreements, representations and warranties of Subscriber contained in this Subscription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foregoing clause of this </w:t>
      </w:r>
      <w:r>
        <w:rPr>
          <w:rFonts w:ascii="Times New Roman;Times;Serif" w:hAnsi="Times New Roman;Times;Serif"/>
          <w:b w:val="false"/>
          <w:i w:val="false"/>
          <w:caps w:val="false"/>
          <w:smallCaps w:val="false"/>
          <w:sz w:val="20"/>
          <w:u w:val="single"/>
        </w:rPr>
        <w:t>Section 8(b)</w:t>
      </w:r>
      <w:r>
        <w:rPr>
          <w:rFonts w:ascii="Times New Roman;Times;Serif" w:hAnsi="Times New Roman;Times;Serif"/>
          <w:b w:val="false"/>
          <w:i w:val="false"/>
          <w:caps w:val="false"/>
          <w:smallCaps w:val="false"/>
          <w:sz w:val="20"/>
        </w:rPr>
        <w:t> shall not give the Company or any third party any rights other than as expressly set forth herein. Prior to the Closing, Subscriber agrees to promptly notify the Company if it becomes aware that any of the acknowledgments, understandings, agreements, representations and warranties of Subscriber set forth herein are no longer accurate in all material respects. Subscriber acknowledges and agrees that the purchase by Subscriber of Subscribed Shares from the Company will constitute a reaffirmation of the acknowledgments, understandings, agreements, representations and warranties herein by Subscriber as of the Closing. The Company acknowledges that Subscriber will rely on the acknowledgments, understandings, agreements, representations and warranties of the Company contained in this Subscription Agreement. Prior to the Closing, the Company agrees to promptly notify Subscriber if it becomes aware that any of the acknowledgments, understandings, agreements, representations and warranties of the Company set forth herein are no longer accurate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Company and Subscriber is entitled to rely upon this Subscription Agreement and is irrevocably authorized to produce this Subscription Agreement or a copy hereof to any interested party in any administrative or legal proceeding or official inquiry with respect to the matters covered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Subscriber shall pay all of its own expenses in connection with this Subscription Agreement and the transactions contemplated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Subscriber hereby acknowledges and agrees that it will not, nor will any person acting at Subscriber’s direction or pursuant to any understanding with Subscriber, directly or indirectly offer, sell, pledge, contract to sell, sell any option, engage in hedging activities or execute any “short sales” as defined in Rule 200 of Regulation SHO under the Exchange Act, of the Subscribed Shares until the consummation of the Closing (or the earlier termination of this Subscription Agreement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this Subscription Agreement nor any rights that may accrue to Subscriber hereunder (other than the Subscribed Shares acquired hereunder, if any) may be transferred or assigned. Neither this Subscription Agreement nor any rights that may accrue to the Company hereunder may be transferred or assigned. Notwithstanding the foregoing, Subscriber may assign its rights and obligations under this Subscription Agreement to one or more of its affiliates (including other investment funds or accounts managed or advised by the investment manager who acts on behalf of Subscriber, if any) or, with the Company’s prior written consent, to another person, provided that no such assignment shall relieve Subscriber of its obligations hereunder if any such assignee fails to perform such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the agreements, representations and warranties made by each party hereto in this Subscription Agreement shall survive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may request from Subscriber such additional information as the Company may reasonably deem necessary to evaluate the eligibility of Subscriber to acquire the Subscribed Shares, and Subscriber shall provide such information as may be reasonably requested. Subscriber acknowledges that the Company may file a copy of the form of this Subscription Agreement with the SEC as an exhibit to a report of the Company or a registration statement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Subscription Agreement may not be amended, modified or waived except by an instrument in writing, signed by each of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This Subscription Agreement constitutes the entire agreement between the parties hereto, and supersedes all other prior agreements, understandings, representations and warranties, both written and oral, between the parties hereto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Except as otherwise provided herein, this Subscription Agreement shall be binding upon, and inure to the benefit of the parties hereto and their heirs, executors, administrators, successors, legal representatives, and permitted assigns and is not for the benefit of, nor may any provision hereof be enforced by, any other person. Each of the parties hereto acknowledge and agree that each of the parties hereto shall be entitled to seek and obtain equitable relief, without proof of actual damages, including an injunction or injunctions or order for specific performance to prevent breaches of this Subscription Agreement and to enforce specifically the terms and provisions of this Subscription Agreement to cause the Company to cause, or directly cause, Subscriber to fund the Purchase Price and cause the Closing to occur on the Subscription Closing Date. Each party hereto further agrees that none of the parties hereto shall be required to obtain, furnish, or post any bond or similar instrument in connection with or as a condition to obtaining any remedy referred to in this </w:t>
      </w:r>
      <w:r>
        <w:rPr>
          <w:rFonts w:ascii="Times New Roman;Times;Serif" w:hAnsi="Times New Roman;Times;Serif"/>
          <w:b w:val="false"/>
          <w:i w:val="false"/>
          <w:caps w:val="false"/>
          <w:smallCaps w:val="false"/>
          <w:sz w:val="20"/>
          <w:u w:val="single"/>
        </w:rPr>
        <w:t>Section 8(k)</w:t>
      </w:r>
      <w:r>
        <w:rPr>
          <w:rFonts w:ascii="Times New Roman;Times;Serif" w:hAnsi="Times New Roman;Times;Serif"/>
          <w:b w:val="false"/>
          <w:i w:val="false"/>
          <w:caps w:val="false"/>
          <w:smallCaps w:val="false"/>
          <w:sz w:val="20"/>
        </w:rPr>
        <w:t>, and each party hereto irrevocably waives any right it may have to require the obtaining, furnishing, or posting of any such bond of similar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The parties hereto acknowledge and agree that irreparable damage would occur in the event that any of the provisions of this Subscription Agreement were not performed in accordance with their specific terms or were otherwise breached and that money or other legal remedies would not be an adequate remedy for such damage. It is accordingly agreed that the parties hereto shall be entitled to equitable relief, including in the form of an injunction or injunctions to prevent breaches or threatened breaches of this Subscription Agreement and to enforce specifically the terms and provisions of this Subscription Agreement, this being in addition to any other remedy to which such party is entitled at law, in equity, in contract, in tort or otherwise. The parties hereto acknowledge and agree that the Company shall be entitled to specifically enforce Subscriber’s obligations to fund the Purchase Price set forth on the signature page hereto and the provisions of the Subscription Agreement, in each case, on the terms and subject to the conditions set forth herein. The parties hereto further acknowledge and agree: (i) to waive any requirement for the security or posting of any bond in connection with any such equitable remedy; (ii) not to assert that a remedy of specific enforcement pursuant to this </w:t>
      </w:r>
      <w:r>
        <w:rPr>
          <w:rFonts w:ascii="Times New Roman;Times;Serif" w:hAnsi="Times New Roman;Times;Serif"/>
          <w:b w:val="false"/>
          <w:i w:val="false"/>
          <w:caps w:val="false"/>
          <w:smallCaps w:val="false"/>
          <w:sz w:val="20"/>
          <w:u w:val="single"/>
        </w:rPr>
        <w:t>Section 8(l)</w:t>
      </w:r>
      <w:r>
        <w:rPr>
          <w:rFonts w:ascii="Times New Roman;Times;Serif" w:hAnsi="Times New Roman;Times;Serif"/>
          <w:b w:val="false"/>
          <w:i w:val="false"/>
          <w:caps w:val="false"/>
          <w:smallCaps w:val="false"/>
          <w:sz w:val="20"/>
        </w:rPr>
        <w:t> is unenforceable, invalid, contrary to applicable Law or inequitable for any reason; and (iii) to waive any defenses in any action for specific performance, including the defense that a remedy at Law would be adequate. In connection with any proceeding for which the Company is being granted an award of money damages, the Subscriber agrees that such damages, to the extent payable by such party, shall include, without limitation, damages related to the consideration that is or was to be paid to the Company under this Subscription Agreement, and such damages are not limited to an award of out-of-pocket fees and expenses related to this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 any dispute arising out of or related to this Subscription Agreement, or any other agreement, document, instrument or certificate contemplated hereby, or any transactions contemplated hereby or thereby, the applicable adjudicating body shall award to the prevailing party, if any, the costs and attorneys’ fees reasonably incurred by the prevailing party in connection with the dispute and the enforcement of its rights under this Subscription Agreement or any other agreement, document, instrument or certificate contemplated hereby and, if the adjudicating body determines a party to be the prevailing party under circumstances where the prevailing party won on some but not all of the claims and counterclaims, the adjudicating body may award the prevailing party an appropriate percentage of the costs and attorneys’ fees reasonably incurred by the prevailing party in connection with the adjudication and the enforcement of its rights under this Subscription Agreement or any other agreement, document, instrument or certificate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This Subscription Agreement may be executed and delivered in counterparts (including by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New York, without regard to the principles of conflicts of laws that would otherwise require the application of the law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 xml:space="preserve">EACH PARTY AND ANY PERSON ASSERTING RIGHTS AS A THIRD PARTY BENEFICIARY HEREBY WAIVES ITS RESPECTIVE RIGHTS TO A TRIAL BY JURY OF ANY CLAIM OR CAUSE OF ACTION BASED UPON OR ARISING OUT OR RELATED TO THIS SUBSCRIPTION AGREEMENT OR THE TRANSACTIONS CONTEMPLATED HEREBY IN ANY ACTION, PROCEEDING OR OTHER LITIGATION OF ANY TYPE,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w:t>
      </w:r>
      <w:r>
        <w:rPr>
          <w:rFonts w:ascii="Times New Roman;Times;Serif" w:hAnsi="Times New Roman;Times;Serif"/>
          <w:b/>
          <w:i w:val="false"/>
          <w:caps w:val="false"/>
          <w:smallCaps w:val="false"/>
          <w:sz w:val="20"/>
          <w:u w:val="single"/>
        </w:rPr>
        <w:t>SECTION 8(r)</w:t>
      </w:r>
      <w:r>
        <w:rPr>
          <w:rFonts w:ascii="Times New Roman;Times;Serif" w:hAnsi="Times New Roman;Times;Serif"/>
          <w:b/>
          <w:i w:val="false"/>
          <w:caps w:val="false"/>
          <w:smallCaps w:val="false"/>
          <w:sz w:val="20"/>
        </w:rPr>
        <w:t> AS TO ANY ACTION, COUNTERCLAIM OR OTHER PROCEEDING</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WHICH SEEKS, IN WHOLE OR IN PART, TO CHALLENGE THE VALIDITY OR ENFORCEABILITY OF THIS SUBSCRIPTION AGREEMENT OR ANY PROVISION HEREOF. THIS WAIVER SHALL APPLY TO ANY SUBSEQUENT AMENDMENTS, RENEWALS, SUPPLEMENTS OR MODIFICATIONS TO THIS SUBSCRIPTION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parties hereto agree that all disputes, legal actions, suits and proceedings arising out of or relating to this Subscription Agreement must be brought exclusively in the courts of the State of New York, or, if it has or can acquire jurisdiction, in the United States District Court for the Southern District of New York (collectively the “</w:t>
      </w:r>
      <w:r>
        <w:rPr>
          <w:rFonts w:ascii="Times New Roman;Times;Serif" w:hAnsi="Times New Roman;Times;Serif"/>
          <w:b/>
          <w:i w:val="false"/>
          <w:caps w:val="false"/>
          <w:smallCaps w:val="false"/>
          <w:sz w:val="20"/>
          <w:u w:val="single"/>
        </w:rPr>
        <w:t>Designated Courts</w:t>
      </w:r>
      <w:r>
        <w:rPr>
          <w:rFonts w:ascii="Times New Roman;Times;Serif" w:hAnsi="Times New Roman;Times;Serif"/>
          <w:b w:val="false"/>
          <w:i w:val="false"/>
          <w:caps w:val="false"/>
          <w:smallCaps w:val="false"/>
          <w:sz w:val="20"/>
        </w:rPr>
        <w:t xml:space="preserve">”). Each party hereby consents and submits to the exclusive jurisdiction of the Designated Courts. No legal action, suit or proceeding with respect to this Subscription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hereto also agrees that delivery of any process, summons, notice or document to a party hereof in compliance with </w:t>
      </w:r>
      <w:r>
        <w:rPr>
          <w:rFonts w:ascii="Times New Roman;Times;Serif" w:hAnsi="Times New Roman;Times;Serif"/>
          <w:b w:val="false"/>
          <w:i w:val="false"/>
          <w:caps w:val="false"/>
          <w:smallCaps w:val="false"/>
          <w:sz w:val="20"/>
          <w:u w:val="single"/>
        </w:rPr>
        <w:t>Section 8(a)</w:t>
      </w:r>
      <w:r>
        <w:rPr>
          <w:rFonts w:ascii="Times New Roman;Times;Serif" w:hAnsi="Times New Roman;Times;Serif"/>
          <w:b w:val="false"/>
          <w:i w:val="false"/>
          <w:caps w:val="false"/>
          <w:smallCaps w:val="false"/>
          <w:sz w:val="20"/>
        </w:rPr>
        <w:t> of this Subscription Agreement shall be effective service of process for any action, suit or proceeding in a Designated Court with respect to any matters to which the parties have submitted to jurisdiction as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or third party beneficiaries hereto and then only with respect to the specific obligations set forth herein with respect to such party or third party beneficiary. No past, present or future director, officer, employee, incorporator, manager, member, partner, shareholder,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If, any change in the Ordinary Shares shall occur between the date hereof and immediately prior to the Closing by reason of any reclassification, recapitalization, stock split (including reverse stock split) or combination, exchange or readjustment of shares, or any stock dividend, the number of Subscribed Shares issued to Subscriber shall be appropriately adjusted to reflect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Subscriber hereby consents to the publication and disclosure in any press release issued by the Company, any Form 6-K filed by the Company with the SEC in connection with the transactions contemplated hereby and the Registration Statement (and, as and to the extent otherwise required by the federal securities laws, exchange rules, the SEC or any other securities authorities or any rules and regulations promulgated thereby, any other documents or communications provided by the Company to any Governmental Authority or to any securityholders of the Company) of Subscriber’s identity and beneficial ownership of the Subscribed Shares and the nature of Subscriber’s commitments, arrangements and understandings under and relating to this Subscription Agreement and, if deemed appropriate by the Company, a copy of this Subscription Agreement, all solely to the extent required by applicable law or any regulation or stock exchange listing requirement. Subscriber will promptly provide any information reasonably requested by the Company for any regulatory application or filing made or approval sought (including filings with the SEC). Notwithstanding the foregoing, the Company shall provide to Subscriber a copy of any proposed disclosure relating to Subscriber in accordance with the provisions of this </w:t>
      </w:r>
      <w:r>
        <w:rPr>
          <w:rFonts w:ascii="Times New Roman;Times;Serif" w:hAnsi="Times New Roman;Times;Serif"/>
          <w:b w:val="false"/>
          <w:i w:val="false"/>
          <w:caps w:val="false"/>
          <w:smallCaps w:val="false"/>
          <w:sz w:val="20"/>
          <w:u w:val="single"/>
        </w:rPr>
        <w:t>Section 8(v)</w:t>
      </w:r>
      <w:r>
        <w:rPr>
          <w:rFonts w:ascii="Times New Roman;Times;Serif" w:hAnsi="Times New Roman;Times;Serif"/>
          <w:b w:val="false"/>
          <w:i w:val="false"/>
          <w:caps w:val="false"/>
          <w:smallCaps w:val="false"/>
          <w:sz w:val="20"/>
        </w:rPr>
        <w:t> in advance of any publication thereof and shall consider in good faith such revisions to such proposed disclosure as Subscriber shall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Subscriber or other investor under the Other Subscription Agreements. The decision of Subscriber to purchase Subscribed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any other investor pursuant hereto or thereto, shall be deemed to constitute Subscriber and Other Subscribers or any other investors as a partnership, an association, a joint venture or any other kind of entity, or create a presumption that Subscriber and Other Subscribers or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the parties hereto have executed or caused this Subscription Agreement to be executed by its duly authorized representative as of the date first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olumn">
                  <wp:align>right</wp:align>
                </wp:positionH>
                <wp:positionV relativeFrom="line">
                  <wp:posOffset>635</wp:posOffset>
                </wp:positionV>
                <wp:extent cx="2345690" cy="3343275"/>
                <wp:effectExtent l="0" t="0" r="0" b="0"/>
                <wp:wrapSquare wrapText="left"/>
                <wp:docPr id="1" name="Frame1"/>
                <a:graphic xmlns:a="http://schemas.openxmlformats.org/drawingml/2006/main">
                  <a:graphicData uri="http://schemas.microsoft.com/office/word/2010/wordprocessingShape">
                    <wps:wsp>
                      <wps:cNvSpPr txBox="1"/>
                      <wps:spPr>
                        <a:xfrm>
                          <a:off x="0" y="0"/>
                          <a:ext cx="2345690" cy="3343275"/>
                        </a:xfrm>
                        <a:prstGeom prst="rect"/>
                        <a:solidFill>
                          <a:srgbClr val="FFFFFF"/>
                        </a:solidFill>
                      </wps:spPr>
                      <wps:txbx>
                        <w:txbxContent>
                          <w:tbl>
                            <w:tblPr>
                              <w:tblW w:w="3694" w:type="dxa"/>
                              <w:jc w:val="left"/>
                              <w:tblInd w:w="0" w:type="dxa"/>
                              <w:tblLayout w:type="fixed"/>
                              <w:tblCellMar>
                                <w:top w:w="0" w:type="dxa"/>
                                <w:left w:w="0" w:type="dxa"/>
                                <w:bottom w:w="0" w:type="dxa"/>
                                <w:right w:w="0" w:type="dxa"/>
                              </w:tblCellMar>
                            </w:tblPr>
                            <w:tblGrid>
                              <w:gridCol w:w="1307"/>
                              <w:gridCol w:w="2312"/>
                              <w:gridCol w:w="75"/>
                            </w:tblGrid>
                            <w:tr>
                              <w:trPr/>
                              <w:tc>
                                <w:tcPr>
                                  <w:tcW w:w="36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LIGHTINTHEBOX HOLDING CO., LTD.</w:t>
                                  </w:r>
                                </w:p>
                              </w:tc>
                              <w:tc>
                                <w:tcPr>
                                  <w:tcW w:w="75" w:type="dxa"/>
                                  <w:tcBorders/>
                                  <w:vAlign w:val="center"/>
                                </w:tcPr>
                                <w:p>
                                  <w:pPr>
                                    <w:pStyle w:val="TableContents"/>
                                    <w:bidi w:val="0"/>
                                    <w:spacing w:before="0" w:after="283"/>
                                    <w:jc w:val="left"/>
                                    <w:rPr/>
                                  </w:pPr>
                                  <w:r>
                                    <w:rPr/>
                                    <w:t> </w:t>
                                  </w:r>
                                </w:p>
                              </w:tc>
                            </w:tr>
                            <w:tr>
                              <w:trPr/>
                              <w:tc>
                                <w:tcPr>
                                  <w:tcW w:w="36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1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07" w:type="dxa"/>
                                  <w:tcBorders/>
                                  <w:vAlign w:val="center"/>
                                </w:tcPr>
                                <w:p>
                                  <w:pPr>
                                    <w:pStyle w:val="TableContents"/>
                                    <w:bidi w:val="0"/>
                                    <w:spacing w:before="0" w:after="283"/>
                                    <w:jc w:val="left"/>
                                    <w:rPr/>
                                  </w:pPr>
                                  <w:r>
                                    <w:rPr/>
                                    <w:t> </w:t>
                                  </w:r>
                                </w:p>
                              </w:tc>
                              <w:tc>
                                <w:tcPr>
                                  <w:tcW w:w="2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1307" w:type="dxa"/>
                                  <w:tcBorders/>
                                  <w:vAlign w:val="center"/>
                                </w:tcPr>
                                <w:p>
                                  <w:pPr>
                                    <w:pStyle w:val="TableContents"/>
                                    <w:bidi w:val="0"/>
                                    <w:spacing w:before="0" w:after="283"/>
                                    <w:jc w:val="left"/>
                                    <w:rPr/>
                                  </w:pPr>
                                  <w:r>
                                    <w:rPr/>
                                    <w:t> </w:t>
                                  </w:r>
                                </w:p>
                              </w:tc>
                              <w:tc>
                                <w:tcPr>
                                  <w:tcW w:w="2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r>
                              <w:trPr/>
                              <w:tc>
                                <w:tcPr>
                                  <w:tcW w:w="36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w:t>
                                  </w:r>
                                </w:p>
                              </w:tc>
                              <w:tc>
                                <w:tcPr>
                                  <w:tcW w:w="75" w:type="dxa"/>
                                  <w:tcBorders/>
                                  <w:vAlign w:val="center"/>
                                </w:tcPr>
                                <w:p>
                                  <w:pPr>
                                    <w:pStyle w:val="TableContents"/>
                                    <w:bidi w:val="0"/>
                                    <w:spacing w:before="0" w:after="283"/>
                                    <w:jc w:val="left"/>
                                    <w:rPr/>
                                  </w:pPr>
                                  <w:r>
                                    <w:rPr/>
                                    <w:t> </w:t>
                                  </w:r>
                                </w:p>
                              </w:tc>
                            </w:tr>
                            <w:tr>
                              <w:trPr/>
                              <w:tc>
                                <w:tcPr>
                                  <w:tcW w:w="36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(not to constitute notice) to:</w:t>
                                  </w:r>
                                </w:p>
                              </w:tc>
                              <w:tc>
                                <w:tcPr>
                                  <w:tcW w:w="75" w:type="dxa"/>
                                  <w:tcBorders/>
                                  <w:vAlign w:val="center"/>
                                </w:tcPr>
                                <w:p>
                                  <w:pPr>
                                    <w:pStyle w:val="TableContents"/>
                                    <w:bidi w:val="0"/>
                                    <w:spacing w:before="0" w:after="283"/>
                                    <w:jc w:val="left"/>
                                    <w:rPr/>
                                  </w:pPr>
                                  <w:r>
                                    <w:rPr/>
                                    <w:t> </w:t>
                                  </w:r>
                                </w:p>
                              </w:tc>
                            </w:tr>
                          </w:tbl>
                        </w:txbxContent>
                      </wps:txbx>
                      <wps:bodyPr anchor="t" lIns="0" tIns="0" rIns="0" bIns="0">
                        <a:noAutofit/>
                      </wps:bodyPr>
                    </wps:wsp>
                  </a:graphicData>
                </a:graphic>
              </wp:anchor>
            </w:drawing>
          </mc:Choice>
          <mc:Fallback>
            <w:pict>
              <v:rect style="position:absolute;rotation:-0;width:184.7pt;height:263.25pt;mso-wrap-distance-left:0pt;mso-wrap-distance-right:0pt;mso-wrap-distance-top:0pt;mso-wrap-distance-bottom:0pt;margin-top:0pt;mso-position-vertical:top;mso-position-vertical-relative:text;margin-left:325.55pt;mso-position-horizontal:right;mso-position-horizontal-relative:text">
                <v:textbox>
                  <w:txbxContent>
                    <w:tbl>
                      <w:tblPr>
                        <w:tblW w:w="3694" w:type="dxa"/>
                        <w:jc w:val="left"/>
                        <w:tblInd w:w="0" w:type="dxa"/>
                        <w:tblLayout w:type="fixed"/>
                        <w:tblCellMar>
                          <w:top w:w="0" w:type="dxa"/>
                          <w:left w:w="0" w:type="dxa"/>
                          <w:bottom w:w="0" w:type="dxa"/>
                          <w:right w:w="0" w:type="dxa"/>
                        </w:tblCellMar>
                      </w:tblPr>
                      <w:tblGrid>
                        <w:gridCol w:w="1307"/>
                        <w:gridCol w:w="2312"/>
                        <w:gridCol w:w="75"/>
                      </w:tblGrid>
                      <w:tr>
                        <w:trPr/>
                        <w:tc>
                          <w:tcPr>
                            <w:tcW w:w="36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LIGHTINTHEBOX HOLDING CO., LTD.</w:t>
                            </w:r>
                          </w:p>
                        </w:tc>
                        <w:tc>
                          <w:tcPr>
                            <w:tcW w:w="75" w:type="dxa"/>
                            <w:tcBorders/>
                            <w:vAlign w:val="center"/>
                          </w:tcPr>
                          <w:p>
                            <w:pPr>
                              <w:pStyle w:val="TableContents"/>
                              <w:bidi w:val="0"/>
                              <w:spacing w:before="0" w:after="283"/>
                              <w:jc w:val="left"/>
                              <w:rPr/>
                            </w:pPr>
                            <w:r>
                              <w:rPr/>
                              <w:t> </w:t>
                            </w:r>
                          </w:p>
                        </w:tc>
                      </w:tr>
                      <w:tr>
                        <w:trPr/>
                        <w:tc>
                          <w:tcPr>
                            <w:tcW w:w="36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1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07" w:type="dxa"/>
                            <w:tcBorders/>
                            <w:vAlign w:val="center"/>
                          </w:tcPr>
                          <w:p>
                            <w:pPr>
                              <w:pStyle w:val="TableContents"/>
                              <w:bidi w:val="0"/>
                              <w:spacing w:before="0" w:after="283"/>
                              <w:jc w:val="left"/>
                              <w:rPr/>
                            </w:pPr>
                            <w:r>
                              <w:rPr/>
                              <w:t> </w:t>
                            </w:r>
                          </w:p>
                        </w:tc>
                        <w:tc>
                          <w:tcPr>
                            <w:tcW w:w="2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1307" w:type="dxa"/>
                            <w:tcBorders/>
                            <w:vAlign w:val="center"/>
                          </w:tcPr>
                          <w:p>
                            <w:pPr>
                              <w:pStyle w:val="TableContents"/>
                              <w:bidi w:val="0"/>
                              <w:spacing w:before="0" w:after="283"/>
                              <w:jc w:val="left"/>
                              <w:rPr/>
                            </w:pPr>
                            <w:r>
                              <w:rPr/>
                              <w:t> </w:t>
                            </w:r>
                          </w:p>
                        </w:tc>
                        <w:tc>
                          <w:tcPr>
                            <w:tcW w:w="2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r>
                        <w:trPr/>
                        <w:tc>
                          <w:tcPr>
                            <w:tcW w:w="36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w:t>
                            </w:r>
                          </w:p>
                        </w:tc>
                        <w:tc>
                          <w:tcPr>
                            <w:tcW w:w="75" w:type="dxa"/>
                            <w:tcBorders/>
                            <w:vAlign w:val="center"/>
                          </w:tcPr>
                          <w:p>
                            <w:pPr>
                              <w:pStyle w:val="TableContents"/>
                              <w:bidi w:val="0"/>
                              <w:spacing w:before="0" w:after="283"/>
                              <w:jc w:val="left"/>
                              <w:rPr/>
                            </w:pPr>
                            <w:r>
                              <w:rPr/>
                              <w:t> </w:t>
                            </w:r>
                          </w:p>
                        </w:tc>
                      </w:tr>
                      <w:tr>
                        <w:trPr/>
                        <w:tc>
                          <w:tcPr>
                            <w:tcW w:w="36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(not to constitute notice) to:</w:t>
                            </w:r>
                          </w:p>
                        </w:tc>
                        <w:tc>
                          <w:tcPr>
                            <w:tcW w:w="75" w:type="dxa"/>
                            <w:tcBorders/>
                            <w:vAlign w:val="center"/>
                          </w:tcPr>
                          <w:p>
                            <w:pPr>
                              <w:pStyle w:val="TableContents"/>
                              <w:bidi w:val="0"/>
                              <w:spacing w:before="0" w:after="283"/>
                              <w:jc w:val="left"/>
                              <w:rPr/>
                            </w:pPr>
                            <w:r>
                              <w:rPr/>
                              <w:t> </w:t>
                            </w:r>
                          </w:p>
                        </w:tc>
                      </w:tr>
                    </w:tbl>
                  </w:txbxContent>
                </v:textbox>
                <w10:wrap type="square" side="lef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16"/>
        <w:gridCol w:w="2582"/>
        <w:gridCol w:w="141"/>
      </w:tblGrid>
      <w:tr>
        <w:trPr/>
        <w:tc>
          <w:tcPr>
            <w:tcW w:w="716" w:type="dxa"/>
            <w:tcBorders/>
            <w:vAlign w:val="center"/>
          </w:tcPr>
          <w:p>
            <w:pPr>
              <w:pStyle w:val="TableContents"/>
              <w:bidi w:val="0"/>
              <w:spacing w:before="0" w:after="283"/>
              <w:jc w:val="left"/>
              <w:rPr/>
            </w:pPr>
            <w:r>
              <w:rPr/>
              <w:t> </w:t>
            </w:r>
          </w:p>
        </w:tc>
        <w:tc>
          <w:tcPr>
            <w:tcW w:w="258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[SUBSCRIBER]</w:t>
            </w:r>
          </w:p>
        </w:tc>
        <w:tc>
          <w:tcPr>
            <w:tcW w:w="141" w:type="dxa"/>
            <w:tcBorders/>
            <w:vAlign w:val="center"/>
          </w:tcPr>
          <w:p>
            <w:pPr>
              <w:pStyle w:val="TableContents"/>
              <w:bidi w:val="0"/>
              <w:spacing w:before="0" w:after="283"/>
              <w:jc w:val="left"/>
              <w:rPr/>
            </w:pPr>
            <w:r>
              <w:rPr/>
              <w:t> </w:t>
            </w:r>
          </w:p>
        </w:tc>
      </w:tr>
      <w:tr>
        <w:trPr/>
        <w:tc>
          <w:tcPr>
            <w:tcW w:w="716" w:type="dxa"/>
            <w:tcBorders/>
            <w:vAlign w:val="center"/>
          </w:tcPr>
          <w:p>
            <w:pPr>
              <w:pStyle w:val="TableContents"/>
              <w:bidi w:val="0"/>
              <w:spacing w:before="0" w:after="283"/>
              <w:jc w:val="left"/>
              <w:rPr/>
            </w:pPr>
            <w:r>
              <w:rPr/>
              <w:t> </w:t>
            </w:r>
          </w:p>
        </w:tc>
        <w:tc>
          <w:tcPr>
            <w:tcW w:w="2582"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r>
      <w:tr>
        <w:trPr/>
        <w:tc>
          <w:tcPr>
            <w:tcW w:w="716" w:type="dxa"/>
            <w:tcBorders/>
            <w:vAlign w:val="center"/>
          </w:tcPr>
          <w:p>
            <w:pPr>
              <w:pStyle w:val="TableContents"/>
              <w:bidi w:val="0"/>
              <w:spacing w:before="0" w:after="283"/>
              <w:jc w:val="left"/>
              <w:rPr/>
            </w:pPr>
            <w:r>
              <w:rPr/>
              <w:t>By:</w:t>
            </w:r>
          </w:p>
        </w:tc>
        <w:tc>
          <w:tcPr>
            <w:tcW w:w="2582" w:type="dxa"/>
            <w:tcBorders>
              <w:bottom w:val="single" w:sz="8" w:space="0" w:color="000000"/>
            </w:tcBorders>
            <w:tcMar>
              <w:bottom w:w="28" w:type="dxa"/>
            </w:tcMar>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r>
      <w:tr>
        <w:trPr/>
        <w:tc>
          <w:tcPr>
            <w:tcW w:w="716" w:type="dxa"/>
            <w:tcBorders/>
            <w:vAlign w:val="center"/>
          </w:tcPr>
          <w:p>
            <w:pPr>
              <w:pStyle w:val="TableContents"/>
              <w:bidi w:val="0"/>
              <w:spacing w:before="0" w:after="283"/>
              <w:jc w:val="left"/>
              <w:rPr/>
            </w:pPr>
            <w:r>
              <w:rPr/>
              <w:t> </w:t>
            </w:r>
          </w:p>
        </w:tc>
        <w:tc>
          <w:tcPr>
            <w:tcW w:w="258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716" w:type="dxa"/>
            <w:tcBorders/>
            <w:vAlign w:val="center"/>
          </w:tcPr>
          <w:p>
            <w:pPr>
              <w:pStyle w:val="TableContents"/>
              <w:bidi w:val="0"/>
              <w:spacing w:before="0" w:after="283"/>
              <w:jc w:val="left"/>
              <w:rPr/>
            </w:pPr>
            <w:r>
              <w:rPr/>
              <w:t> </w:t>
            </w:r>
          </w:p>
        </w:tc>
        <w:tc>
          <w:tcPr>
            <w:tcW w:w="2582" w:type="dxa"/>
            <w:tcBorders/>
            <w:vAlign w:val="center"/>
          </w:tcPr>
          <w:p>
            <w:pPr>
              <w:pStyle w:val="TableContents"/>
              <w:bidi w:val="0"/>
              <w:spacing w:before="0" w:after="283"/>
              <w:jc w:val="left"/>
              <w:rPr/>
            </w:pPr>
            <w:r>
              <w:rPr/>
              <w:t>Title:</w:t>
            </w:r>
          </w:p>
        </w:tc>
        <w:tc>
          <w:tcPr>
            <w:tcW w:w="141" w:type="dxa"/>
            <w:tcBorders/>
            <w:vAlign w:val="center"/>
          </w:tcPr>
          <w:p>
            <w:pPr>
              <w:pStyle w:val="TableContents"/>
              <w:bidi w:val="0"/>
              <w:spacing w:before="0" w:after="283"/>
              <w:jc w:val="left"/>
              <w:rPr/>
            </w:pPr>
            <w:r>
              <w:rPr/>
              <w:t> </w:t>
            </w:r>
          </w:p>
        </w:tc>
      </w:tr>
      <w:tr>
        <w:trPr/>
        <w:tc>
          <w:tcPr>
            <w:tcW w:w="3439" w:type="dxa"/>
            <w:gridSpan w:val="3"/>
            <w:tcBorders/>
            <w:vAlign w:val="center"/>
          </w:tcPr>
          <w:p>
            <w:pPr>
              <w:pStyle w:val="TableContents"/>
              <w:bidi w:val="0"/>
              <w:spacing w:before="0" w:after="283"/>
              <w:jc w:val="left"/>
              <w:rPr/>
            </w:pPr>
            <w:r>
              <w:rPr/>
              <w:t> </w:t>
            </w:r>
          </w:p>
        </w:tc>
      </w:tr>
      <w:tr>
        <w:trPr/>
        <w:tc>
          <w:tcPr>
            <w:tcW w:w="343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w:t>
            </w:r>
          </w:p>
        </w:tc>
      </w:tr>
      <w:tr>
        <w:trPr/>
        <w:tc>
          <w:tcPr>
            <w:tcW w:w="3439" w:type="dxa"/>
            <w:gridSpan w:val="3"/>
            <w:tcBorders/>
            <w:vAlign w:val="center"/>
          </w:tcPr>
          <w:p>
            <w:pPr>
              <w:pStyle w:val="TableContents"/>
              <w:bidi w:val="0"/>
              <w:spacing w:before="0" w:after="283"/>
              <w:jc w:val="left"/>
              <w:rPr/>
            </w:pPr>
            <w:r>
              <w:rPr/>
              <w:t> </w:t>
            </w:r>
          </w:p>
        </w:tc>
      </w:tr>
      <w:tr>
        <w:trPr/>
        <w:tc>
          <w:tcPr>
            <w:tcW w:w="3439" w:type="dxa"/>
            <w:gridSpan w:val="3"/>
            <w:tcBorders/>
            <w:vAlign w:val="center"/>
          </w:tcPr>
          <w:p>
            <w:pPr>
              <w:pStyle w:val="TableContents"/>
              <w:bidi w:val="0"/>
              <w:spacing w:before="0" w:after="0"/>
              <w:jc w:val="left"/>
              <w:rPr>
                <w:bdr w:val="single" w:sz="6" w:space="1" w:color="000000"/>
              </w:rPr>
            </w:pPr>
            <w:r>
              <w:rPr>
                <w:bdr w:val="single" w:sz="6" w:space="1" w:color="000000"/>
              </w:rPr>
              <w:t> </w:t>
            </w:r>
          </w:p>
        </w:tc>
      </w:tr>
      <w:tr>
        <w:trPr/>
        <w:tc>
          <w:tcPr>
            <w:tcW w:w="3439" w:type="dxa"/>
            <w:gridSpan w:val="3"/>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439" w:type="dxa"/>
            <w:gridSpan w:val="3"/>
            <w:tcBorders/>
            <w:vAlign w:val="center"/>
          </w:tcPr>
          <w:p>
            <w:pPr>
              <w:pStyle w:val="TableContents"/>
              <w:bidi w:val="0"/>
              <w:spacing w:before="0" w:after="283"/>
              <w:jc w:val="left"/>
              <w:rPr/>
            </w:pPr>
            <w:r>
              <w:rPr/>
              <w:t> </w:t>
            </w:r>
          </w:p>
        </w:tc>
      </w:tr>
      <w:tr>
        <w:trPr/>
        <w:tc>
          <w:tcPr>
            <w:tcW w:w="343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for Notices:</w:t>
            </w:r>
          </w:p>
        </w:tc>
      </w:tr>
      <w:tr>
        <w:trPr/>
        <w:tc>
          <w:tcPr>
            <w:tcW w:w="3439" w:type="dxa"/>
            <w:gridSpan w:val="3"/>
            <w:tcBorders/>
            <w:vAlign w:val="center"/>
          </w:tcPr>
          <w:p>
            <w:pPr>
              <w:pStyle w:val="TableContents"/>
              <w:bidi w:val="0"/>
              <w:spacing w:before="0" w:after="283"/>
              <w:jc w:val="left"/>
              <w:rPr/>
            </w:pPr>
            <w:r>
              <w:rPr/>
              <w:t> </w:t>
            </w:r>
          </w:p>
        </w:tc>
      </w:tr>
      <w:tr>
        <w:trPr/>
        <w:tc>
          <w:tcPr>
            <w:tcW w:w="3439" w:type="dxa"/>
            <w:gridSpan w:val="3"/>
            <w:tcBorders/>
            <w:vAlign w:val="center"/>
          </w:tcPr>
          <w:p>
            <w:pPr>
              <w:pStyle w:val="TableContents"/>
              <w:bidi w:val="0"/>
              <w:spacing w:before="0" w:after="283"/>
              <w:jc w:val="left"/>
              <w:rPr/>
            </w:pPr>
            <w:r>
              <w:rPr/>
              <w:t> </w:t>
            </w:r>
          </w:p>
        </w:tc>
      </w:tr>
      <w:tr>
        <w:trPr/>
        <w:tc>
          <w:tcPr>
            <w:tcW w:w="3439" w:type="dxa"/>
            <w:gridSpan w:val="3"/>
            <w:tcBorders/>
            <w:vAlign w:val="center"/>
          </w:tcPr>
          <w:p>
            <w:pPr>
              <w:pStyle w:val="TableContents"/>
              <w:bidi w:val="0"/>
              <w:spacing w:before="0" w:after="0"/>
              <w:jc w:val="left"/>
              <w:rPr>
                <w:bdr w:val="single" w:sz="6" w:space="1" w:color="000000"/>
              </w:rPr>
            </w:pPr>
            <w:r>
              <w:rPr>
                <w:bdr w:val="single" w:sz="6" w:space="1" w:color="000000"/>
              </w:rPr>
              <w:t> </w:t>
            </w:r>
          </w:p>
        </w:tc>
      </w:tr>
      <w:tr>
        <w:trPr/>
        <w:tc>
          <w:tcPr>
            <w:tcW w:w="3439" w:type="dxa"/>
            <w:gridSpan w:val="3"/>
            <w:tcBorders/>
            <w:vAlign w:val="center"/>
          </w:tcPr>
          <w:p>
            <w:pPr>
              <w:pStyle w:val="TableContents"/>
              <w:bidi w:val="0"/>
              <w:spacing w:before="0" w:after="283"/>
              <w:jc w:val="left"/>
              <w:rPr/>
            </w:pPr>
            <w:r>
              <w:rPr/>
              <w:t> </w:t>
            </w:r>
          </w:p>
        </w:tc>
      </w:tr>
      <w:tr>
        <w:trPr/>
        <w:tc>
          <w:tcPr>
            <w:tcW w:w="3439" w:type="dxa"/>
            <w:gridSpan w:val="3"/>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in which shares are to be registered:</w:t>
            </w:r>
          </w:p>
        </w:tc>
      </w:tr>
      <w:tr>
        <w:trPr/>
        <w:tc>
          <w:tcPr>
            <w:tcW w:w="3439" w:type="dxa"/>
            <w:gridSpan w:val="3"/>
            <w:tcBorders/>
            <w:vAlign w:val="center"/>
          </w:tcPr>
          <w:p>
            <w:pPr>
              <w:pStyle w:val="TableContents"/>
              <w:bidi w:val="0"/>
              <w:spacing w:before="0" w:after="283"/>
              <w:jc w:val="left"/>
              <w:rPr/>
            </w:pPr>
            <w:r>
              <w:rPr/>
              <w:t> </w:t>
            </w:r>
          </w:p>
        </w:tc>
      </w:tr>
      <w:tr>
        <w:trPr/>
        <w:tc>
          <w:tcPr>
            <w:tcW w:w="3439" w:type="dxa"/>
            <w:gridSpan w:val="3"/>
            <w:tcBorders/>
            <w:vAlign w:val="center"/>
          </w:tcPr>
          <w:p>
            <w:pPr>
              <w:pStyle w:val="TableContents"/>
              <w:bidi w:val="0"/>
              <w:spacing w:before="0" w:after="0"/>
              <w:jc w:val="left"/>
              <w:rPr>
                <w:bdr w:val="single" w:sz="6" w:space="1" w:color="000000"/>
              </w:rPr>
            </w:pPr>
            <w:r>
              <w:rPr>
                <w:bdr w:val="single" w:sz="6" w:space="1" w:color="000000"/>
              </w:rPr>
              <w:t> </w:t>
            </w:r>
          </w:p>
        </w:tc>
      </w:tr>
    </w:tbl>
    <w:p>
      <w:pPr>
        <w:pStyle w:val="TextBody"/>
        <w:bidi w:val="0"/>
        <w:spacing w:before="0" w:after="0"/>
        <w:ind w:left="0" w:right="0" w:hanging="0"/>
        <w:jc w:val="left"/>
        <w:rPr>
          <w:caps w:val="false"/>
          <w:smallCaps w:val="false"/>
        </w:rPr>
      </w:pPr>
      <w:r>
        <w:rPr>
          <w:caps w:val="false"/>
          <w:smallCaps w:val="false"/>
        </w:rPr>
        <w:t> </w:t>
      </w:r>
    </w:p>
    <w:tbl>
      <w:tblPr>
        <w:tblW w:w="4815" w:type="dxa"/>
        <w:jc w:val="left"/>
        <w:tblInd w:w="0" w:type="dxa"/>
        <w:tblLayout w:type="fixed"/>
        <w:tblCellMar>
          <w:top w:w="0" w:type="dxa"/>
          <w:left w:w="0" w:type="dxa"/>
          <w:bottom w:w="0" w:type="dxa"/>
          <w:right w:w="0" w:type="dxa"/>
        </w:tblCellMar>
      </w:tblPr>
      <w:tblGrid>
        <w:gridCol w:w="3650"/>
        <w:gridCol w:w="60"/>
        <w:gridCol w:w="125"/>
        <w:gridCol w:w="905"/>
        <w:gridCol w:w="75"/>
      </w:tblGrid>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Subscribed Shares subscribed for:</w:t>
            </w:r>
          </w:p>
        </w:tc>
        <w:tc>
          <w:tcPr>
            <w:tcW w:w="60" w:type="dxa"/>
            <w:tcBorders/>
            <w:shd w:fill="CCEEFF" w:val="clear"/>
            <w:vAlign w:val="center"/>
          </w:tcPr>
          <w:p>
            <w:pPr>
              <w:pStyle w:val="TableContents"/>
              <w:bidi w:val="0"/>
              <w:spacing w:before="0" w:after="283"/>
              <w:jc w:val="left"/>
              <w:rPr/>
            </w:pPr>
            <w:r>
              <w:rPr/>
              <w:t> </w:t>
            </w:r>
          </w:p>
        </w:tc>
        <w:tc>
          <w:tcPr>
            <w:tcW w:w="1030"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Per Subscribed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0.2566667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must pay the Purchase Price by wire transfer of United States dollars in immediately available funds to the account of the Company specified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12711</Words>
  <Characters>69040</Characters>
  <CharactersWithSpaces>81844</CharactersWithSpaces>
  <Paragraphs>447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