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203835</wp:posOffset>
            </wp:positionH>
            <wp:positionV relativeFrom="page">
              <wp:posOffset>328295</wp:posOffset>
            </wp:positionV>
            <wp:extent cx="714184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360045</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month of April 2026</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Commission File Number: 001-35942</w:t>
      </w:r>
    </w:p>
    <w:p>
      <w:pPr>
        <w:spacing w:after="0" w:line="20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LightInTheBox Holding Co., Ltd.</w:t>
      </w:r>
    </w:p>
    <w:p>
      <w:pPr>
        <w:spacing w:after="0" w:line="2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4 Pandan Crescent #03-03</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Singapore (128475)</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68" w:lineRule="exact"/>
        <w:rPr>
          <w:sz w:val="24"/>
          <w:szCs w:val="24"/>
          <w:color w:val="auto"/>
        </w:rPr>
      </w:pPr>
    </w:p>
    <w:p>
      <w:pPr>
        <w:ind w:left="4360"/>
        <w:spacing w:after="0" w:line="196" w:lineRule="exact"/>
        <w:tabs>
          <w:tab w:leader="none" w:pos="5960" w:val="left"/>
        </w:tabs>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20-F</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7141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221615</wp:posOffset>
            </wp:positionV>
            <wp:extent cx="714184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845"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525145</wp:posOffset>
            </wp:positionV>
            <wp:extent cx="7141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83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EXTRAORDINARY GENERAL MEETING</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April 17, 2026, LightInTheBox Holding Co., Ltd., a company incorporated under the laws of the Cayman Islands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announced that it will hold an Extraordinary General Meeting of Shareholders of the Company (the “</w:t>
      </w:r>
      <w:r>
        <w:rPr>
          <w:rFonts w:ascii="Times New Roman" w:cs="Times New Roman" w:eastAsia="Times New Roman" w:hAnsi="Times New Roman"/>
          <w:sz w:val="17"/>
          <w:szCs w:val="17"/>
          <w:u w:val="single" w:color="auto"/>
          <w:color w:val="auto"/>
        </w:rPr>
        <w:t>EGM</w:t>
      </w:r>
      <w:r>
        <w:rPr>
          <w:rFonts w:ascii="Times New Roman" w:cs="Times New Roman" w:eastAsia="Times New Roman" w:hAnsi="Times New Roman"/>
          <w:sz w:val="17"/>
          <w:szCs w:val="17"/>
          <w:color w:val="auto"/>
        </w:rPr>
        <w:t>”) at the offices of the Company located at 4 Pandan Crescent #03-03, Singapore, 128475, on May 25, 2026, beginning at 10:00 a.m. Singapore time for the purposes of considering and, if thought fit, passing the resolutions as set forth in the notice of the EGM.</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has fixed the close of business on April 20, 2026, New York time as the record date (the “</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for determining the shareholders entitled to receive notice of, attend, and vote at the EGM or any adjourned meeting thereof. Holders of record of the Company’s ordinary shares at the close of business on the Record Date are entitled to attend and vote at the EGM and any adjourned meeting thereof. Holders of the Company’s American depositary shares (“</w:t>
      </w:r>
      <w:r>
        <w:rPr>
          <w:rFonts w:ascii="Times New Roman" w:cs="Times New Roman" w:eastAsia="Times New Roman" w:hAnsi="Times New Roman"/>
          <w:sz w:val="17"/>
          <w:szCs w:val="17"/>
          <w:u w:val="single" w:color="auto"/>
          <w:color w:val="auto"/>
        </w:rPr>
        <w:t>ADSs</w:t>
      </w:r>
      <w:r>
        <w:rPr>
          <w:rFonts w:ascii="Times New Roman" w:cs="Times New Roman" w:eastAsia="Times New Roman" w:hAnsi="Times New Roman"/>
          <w:sz w:val="17"/>
          <w:szCs w:val="17"/>
          <w:color w:val="auto"/>
        </w:rPr>
        <w:t>”) who wish to exercise their voting rights for the underlying shares must act directly through The Bank of New York Mellon, the depositary of the Company’s ADS program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 if the ADSs are held by holders on the books and records of the Depositary or indirectly through a bank, brokerage, or other securities intermediary if the ADSs are held by any of them on behalf of holders.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Copies of the notice and the related proxy card and voting card are attached to this Report on Form 6-K as Exhibit 99.1, Exhibit 99.2 and Exhibit 99.3, respectively, and incorporated herein by reference.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99.1 – Notice of Extraordinary General Meeting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99.2 – Form of Proxy for the Extraordinary General Meeting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99.3 – Form of Voting Card for ADS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LIGHTINTHEBOX HOLDING CO., LTD.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Jian He</w:t>
            </w:r>
          </w:p>
        </w:tc>
      </w:tr>
      <w:tr>
        <w:trPr>
          <w:trHeight w:val="177"/>
        </w:trPr>
        <w:tc>
          <w:tcPr>
            <w:tcW w:w="56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Name:</w:t>
            </w:r>
          </w:p>
        </w:tc>
        <w:tc>
          <w:tcPr>
            <w:tcW w:w="508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Jian He</w:t>
            </w: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17,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LightInTheBox Holding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Extraordinary General Meeting of the Company</w:t>
      </w:r>
    </w:p>
    <w:p>
      <w:pPr>
        <w:spacing w:after="0" w:line="207"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color w:val="auto"/>
        </w:rPr>
        <w:t>Notice is hereby given that an Extraordinary General Meeting of the Company (the “</w:t>
      </w:r>
      <w:r>
        <w:rPr>
          <w:rFonts w:ascii="Times New Roman" w:cs="Times New Roman" w:eastAsia="Times New Roman" w:hAnsi="Times New Roman"/>
          <w:sz w:val="17"/>
          <w:szCs w:val="17"/>
          <w:b w:val="1"/>
          <w:bCs w:val="1"/>
          <w:color w:val="auto"/>
        </w:rPr>
        <w:t>EGM</w:t>
      </w:r>
      <w:r>
        <w:rPr>
          <w:rFonts w:ascii="Times New Roman" w:cs="Times New Roman" w:eastAsia="Times New Roman" w:hAnsi="Times New Roman"/>
          <w:sz w:val="17"/>
          <w:szCs w:val="17"/>
          <w:color w:val="auto"/>
        </w:rPr>
        <w:t>”) will be held at the offices of the Company located at 4 Pandan Crescent #03-03, Singapore, 128475, on May 25, 2026, beginning at 10:00 a.m. (local time) for the purpose of considering and, if thought fit, passing and approving the following resolutions:</w:t>
      </w:r>
    </w:p>
    <w:p>
      <w:pPr>
        <w:spacing w:after="0" w:line="168" w:lineRule="exact"/>
        <w:rPr>
          <w:sz w:val="20"/>
          <w:szCs w:val="20"/>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1: to be resolved as an ordinary resolution that the re-election of Mr. Zhi Yan as a director of the Company until his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2: to be resolved as an ordinary resolution that the re-election of Mr. Jian He as a director of the Company until his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3: to be resolved as an ordinary resolution that the re-election of Mr. Zhiping Qi as a director of the Company until his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4: to be resolved as an ordinary resolution that the re-election of Mr. Zhentao Wang as a director of the Company until his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5: to be resolved as an ordinary resolution that the re-election of Mr. Xiongping Yu as a director of the Company until his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6: to be resolved as an ordinary resolution that the re-election of Mr. Meng Lian as a director of the Company until his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7: to be resolved as an ordinary resolution that the re-election of Ms. Ge Yan as a director of the Company until her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8: to be resolved as an ordinary resolution that the re-election of Mr. Wei Yu as a director of the Company until his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9: to be resolved as an ordinary resolution that the re-election of Dr. Hanhua Wang as a director of the Company until his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10: to be resolved as an ordinary resolution that the re-election of Dr. Peng Wu as a director of the Company until his term of office due on March 31, 2028 is approved;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11: to be resolved as an ordinary resolution that the re-election of Dr. Lei Deng as a director of the Company until his term of office due on March 31, 2028 is approved.</w:t>
      </w:r>
    </w:p>
    <w:p>
      <w:pPr>
        <w:spacing w:after="0" w:line="154" w:lineRule="exact"/>
        <w:rPr>
          <w:rFonts w:ascii="Times New Roman" w:cs="Times New Roman" w:eastAsia="Times New Roman" w:hAnsi="Times New Roman"/>
          <w:sz w:val="17"/>
          <w:szCs w:val="17"/>
          <w:color w:val="auto"/>
        </w:rPr>
      </w:pPr>
    </w:p>
    <w:p>
      <w:pPr>
        <w:ind w:left="300" w:hanging="299"/>
        <w:spacing w:after="0" w:line="278"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12: to be resolved as an ordinary resolution any one of the directors of the Company (the “</w:t>
      </w:r>
      <w:r>
        <w:rPr>
          <w:rFonts w:ascii="Times New Roman" w:cs="Times New Roman" w:eastAsia="Times New Roman" w:hAnsi="Times New Roman"/>
          <w:sz w:val="17"/>
          <w:szCs w:val="17"/>
          <w:b w:val="1"/>
          <w:bCs w:val="1"/>
          <w:color w:val="auto"/>
        </w:rPr>
        <w:t>Directors</w:t>
      </w:r>
      <w:r>
        <w:rPr>
          <w:rFonts w:ascii="Times New Roman" w:cs="Times New Roman" w:eastAsia="Times New Roman" w:hAnsi="Times New Roman"/>
          <w:sz w:val="17"/>
          <w:szCs w:val="17"/>
          <w:color w:val="auto"/>
        </w:rPr>
        <w:t>”, each a “</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to be authorised to take any and every action that might be necessary to effect the foregoing resolutions as such Director, in his or her absolute discretions, thinks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379730</wp:posOffset>
            </wp:positionV>
            <wp:extent cx="7141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Company has fixed the close of business on April 20, 2026, New York time as the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for determining the shareholders entitled to receive notice of, attend, and vote at the EGM or any adjourned meeting thereof. Holders of record of the Company’s ordinary shares at the close of business on the Record Date are entitled to attend and vote at the EGM and any adjourned meeting thereof. Holders of the Company’s American depositary shares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who wish to exercise their voting rights for the underlying shares must act directly through The Bank of New York Mellon, the depositary of the Company’s ADS program (the “</w:t>
      </w:r>
      <w:r>
        <w:rPr>
          <w:rFonts w:ascii="Times New Roman" w:cs="Times New Roman" w:eastAsia="Times New Roman" w:hAnsi="Times New Roman"/>
          <w:sz w:val="17"/>
          <w:szCs w:val="17"/>
          <w:b w:val="1"/>
          <w:bCs w:val="1"/>
          <w:color w:val="auto"/>
        </w:rPr>
        <w:t>Depositary</w:t>
      </w:r>
      <w:r>
        <w:rPr>
          <w:rFonts w:ascii="Times New Roman" w:cs="Times New Roman" w:eastAsia="Times New Roman" w:hAnsi="Times New Roman"/>
          <w:sz w:val="17"/>
          <w:szCs w:val="17"/>
          <w:color w:val="auto"/>
        </w:rPr>
        <w:t>”), if the ADSs are held by holders on the books and records of the Depositary or indirectly through a bank, brokerage, or other securities intermediary if the ADSs are held by any of them on behalf of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LIGHTINTHEBOX HOLDING CO., LTD.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Jian 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503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032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Chief Executive Officer and the Requisitionist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April 17,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Office: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Vistra (Cayman)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 Box 31119, Grand Pavilion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Hibiscus Way, 802 West Bay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Grand Cayman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KY1-1205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form of proxy has been included with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20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color w:val="auto"/>
        </w:rPr>
        <w:t>IF YOU HAVE EXECUTED A STANDING PROXY, YOUR STANDING PROXY WILL BE VOTED AS INDICATED IN NOTE 2 BELOW, UNLESS YOU ATTEND THE EGM IN PERSON OR SEND IN A SPECIFIC PROXY.</w:t>
      </w:r>
    </w:p>
    <w:p>
      <w:pPr>
        <w:spacing w:after="0" w:line="154" w:lineRule="exact"/>
        <w:rPr>
          <w:sz w:val="20"/>
          <w:szCs w:val="20"/>
          <w:color w:val="auto"/>
        </w:rPr>
      </w:pPr>
    </w:p>
    <w:p>
      <w:pPr>
        <w:ind w:left="300" w:hanging="299"/>
        <w:spacing w:after="0" w:line="273"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need not be a shareholder of the Company. A shareholder entitled to attend and vote at the EGM is entitled to appoint one or more proxies to attend and vote in his/her stead.</w:t>
      </w:r>
    </w:p>
    <w:p>
      <w:pPr>
        <w:spacing w:after="0" w:line="15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standing proxy previously deposited by a shareholder with the Company will be voted in favour of the resolutions to be proposed at the EGM unless revoked prior to the EGM or the shareholder attends the EGM in person or executes a specific proxy.</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73" w:lineRule="auto"/>
        <w:tabs>
          <w:tab w:leader="none" w:pos="3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of proxy for use at the EGM is enclosed. Whether or not you propose to attend the EGM in person, you are strongly advised to complete and sign the enclosed form of proxy in accordance with the instructions printed on it and then deposit it (together with any power of attorney or other authority under which it is signed or a notarially certified copy of that power or authority) at the offices of 4 Pandan Crescent #03-03 Singapore (128475), or send copies of the foregoing by email to 2026egm@lightinthebox.com, not later than 48 hours before the time for the holding of the EGM or adjourned EGM in accordance with the articles of association of the Company. Returning the completed form of proxy will not preclude you from attending the EGM and voting in person if you so wish.</w:t>
      </w:r>
    </w:p>
    <w:p>
      <w:pPr>
        <w:spacing w:after="0" w:line="159" w:lineRule="exact"/>
        <w:rPr>
          <w:rFonts w:ascii="Times New Roman" w:cs="Times New Roman" w:eastAsia="Times New Roman" w:hAnsi="Times New Roman"/>
          <w:sz w:val="16"/>
          <w:szCs w:val="16"/>
          <w:color w:val="auto"/>
        </w:rPr>
      </w:pPr>
    </w:p>
    <w:p>
      <w:pPr>
        <w:jc w:val="both"/>
        <w:ind w:left="300" w:hanging="299"/>
        <w:spacing w:after="0" w:line="26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shareholders in respect of the relevant shares.</w:t>
      </w:r>
    </w:p>
    <w:p>
      <w:pPr>
        <w:spacing w:after="0" w:line="168" w:lineRule="exact"/>
        <w:rPr>
          <w:rFonts w:ascii="Times New Roman" w:cs="Times New Roman" w:eastAsia="Times New Roman" w:hAnsi="Times New Roman"/>
          <w:sz w:val="17"/>
          <w:szCs w:val="17"/>
          <w:color w:val="auto"/>
        </w:rPr>
      </w:pPr>
    </w:p>
    <w:p>
      <w:pPr>
        <w:jc w:val="both"/>
        <w:ind w:left="300" w:hanging="299"/>
        <w:spacing w:after="0" w:line="255"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shareholder holding more than one share entitled to attend and vote at the EGM need not cast the votes in respect of such shares in the same way on any resolution and therefore may vote a share or some or all such shares either for or against a resolution and/or abstain from voting a share or some or all of the shares and, subject to the terms of the instrument appointing any proxy, a proxy appointed under one or more instruments may vote a share or some or all of the shares in respect of which he is appointed either for or against a resolution and/or abstain from voting.</w:t>
      </w:r>
    </w:p>
    <w:p>
      <w:pPr>
        <w:spacing w:after="0" w:line="174"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for the EGM is two Members holding not less than an aggregate of one-third in par value of the share capital of the Company in issue entitled to vote on the resolutions to be considered at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382270</wp:posOffset>
            </wp:positionV>
            <wp:extent cx="7141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LightInTheBox Holding Co.,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PROXY FOR SHAREHOLDERS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I/We ___________________________________________________________________________________________________________</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Please Print Name(s)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_____________________________________________________________________________________________________________</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Please Print Address(es)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being (a) shareholder(s) of the Company with _________________ shares respectively hereby appoint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 of ________________________________________________________________________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failing him/her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 of ________________________________________________________________________</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or failing him/her the duly appointed chairman of the EGM (the “</w:t>
      </w:r>
      <w:r>
        <w:rPr>
          <w:rFonts w:ascii="Times New Roman" w:cs="Times New Roman" w:eastAsia="Times New Roman" w:hAnsi="Times New Roman"/>
          <w:sz w:val="17"/>
          <w:szCs w:val="17"/>
          <w:b w:val="1"/>
          <w:bCs w:val="1"/>
          <w:color w:val="auto"/>
        </w:rPr>
        <w:t>Chairman</w:t>
      </w:r>
      <w:r>
        <w:rPr>
          <w:rFonts w:ascii="Times New Roman" w:cs="Times New Roman" w:eastAsia="Times New Roman" w:hAnsi="Times New Roman"/>
          <w:sz w:val="17"/>
          <w:szCs w:val="17"/>
          <w:color w:val="auto"/>
        </w:rPr>
        <w:t>”) as my/our proxy to vote for me/us and on my/our behalf at the Extraordinary General Meeting of the Company (the “</w:t>
      </w:r>
      <w:r>
        <w:rPr>
          <w:rFonts w:ascii="Times New Roman" w:cs="Times New Roman" w:eastAsia="Times New Roman" w:hAnsi="Times New Roman"/>
          <w:sz w:val="17"/>
          <w:szCs w:val="17"/>
          <w:b w:val="1"/>
          <w:bCs w:val="1"/>
          <w:color w:val="auto"/>
        </w:rPr>
        <w:t>EGM</w:t>
      </w:r>
      <w:r>
        <w:rPr>
          <w:rFonts w:ascii="Times New Roman" w:cs="Times New Roman" w:eastAsia="Times New Roman" w:hAnsi="Times New Roman"/>
          <w:sz w:val="17"/>
          <w:szCs w:val="17"/>
          <w:color w:val="auto"/>
        </w:rPr>
        <w:t>”) to be held on May 25, 2026 at 10:00 a.m. (local time) at the offices of the Company located at 4 Pandan Crescent #03-03, Singapore, 128475 and at any adjournment of the EGM. My proxy is instructed to vote on a poll or on a show of hands on the resolutions in respect of the matters specified in the Notice of the EGM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41845" cy="1675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845" cy="1675765"/>
                    </a:xfrm>
                    <a:prstGeom prst="rect">
                      <a:avLst/>
                    </a:prstGeom>
                    <a:noFill/>
                  </pic:spPr>
                </pic:pic>
              </a:graphicData>
            </a:graphic>
          </wp:anchor>
        </w:drawing>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Resolutions</w:t>
            </w:r>
          </w:p>
        </w:tc>
        <w:tc>
          <w:tcPr>
            <w:tcW w:w="4560" w:type="dxa"/>
            <w:vAlign w:val="bottom"/>
          </w:tcPr>
          <w:p>
            <w:pPr>
              <w:ind w:left="4100"/>
              <w:spacing w:after="0"/>
              <w:rPr>
                <w:sz w:val="20"/>
                <w:szCs w:val="20"/>
                <w:color w:val="auto"/>
              </w:rPr>
            </w:pPr>
            <w:r>
              <w:rPr>
                <w:rFonts w:ascii="Times New Roman" w:cs="Times New Roman" w:eastAsia="Times New Roman" w:hAnsi="Times New Roman"/>
                <w:sz w:val="17"/>
                <w:szCs w:val="17"/>
                <w:color w:val="auto"/>
              </w:rPr>
              <w:t>For</w:t>
            </w:r>
          </w:p>
        </w:tc>
        <w:tc>
          <w:tcPr>
            <w:tcW w:w="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Against</w:t>
            </w:r>
          </w:p>
        </w:tc>
        <w:tc>
          <w:tcPr>
            <w:tcW w:w="64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4"/>
              </w:rPr>
              <w:t>Abstain</w:t>
            </w:r>
          </w:p>
        </w:tc>
      </w:tr>
    </w:tbl>
    <w:p>
      <w:pPr>
        <w:spacing w:after="0" w:line="147" w:lineRule="exact"/>
        <w:rPr>
          <w:sz w:val="20"/>
          <w:szCs w:val="20"/>
          <w:color w:val="auto"/>
        </w:rPr>
      </w:pPr>
    </w:p>
    <w:p>
      <w:pPr>
        <w:ind w:left="120" w:right="2340"/>
        <w:spacing w:after="0" w:line="273" w:lineRule="auto"/>
        <w:rPr>
          <w:sz w:val="20"/>
          <w:szCs w:val="20"/>
          <w:color w:val="auto"/>
        </w:rPr>
      </w:pPr>
      <w:r>
        <w:rPr>
          <w:rFonts w:ascii="Times New Roman" w:cs="Times New Roman" w:eastAsia="Times New Roman" w:hAnsi="Times New Roman"/>
          <w:sz w:val="17"/>
          <w:szCs w:val="17"/>
          <w:color w:val="auto"/>
        </w:rPr>
        <w:t>Proposal No. 1: to be resolved as an ordinary resolution that the re-election of Mr. Zhi Yan as a director of the Company until his term of office due on March 31, 2028 is approved.</w:t>
      </w:r>
    </w:p>
    <w:p>
      <w:pPr>
        <w:spacing w:after="0" w:line="121" w:lineRule="exact"/>
        <w:rPr>
          <w:sz w:val="20"/>
          <w:szCs w:val="20"/>
          <w:color w:val="auto"/>
        </w:rPr>
      </w:pPr>
    </w:p>
    <w:p>
      <w:pPr>
        <w:ind w:left="120" w:right="2340"/>
        <w:spacing w:after="0" w:line="273" w:lineRule="auto"/>
        <w:rPr>
          <w:sz w:val="20"/>
          <w:szCs w:val="20"/>
          <w:color w:val="auto"/>
        </w:rPr>
      </w:pPr>
      <w:r>
        <w:rPr>
          <w:rFonts w:ascii="Times New Roman" w:cs="Times New Roman" w:eastAsia="Times New Roman" w:hAnsi="Times New Roman"/>
          <w:sz w:val="17"/>
          <w:szCs w:val="17"/>
          <w:color w:val="auto"/>
        </w:rPr>
        <w:t>Proposal No. 2: to be resolved as an ordinary resolution that the re-election of Mr. Jian He as a director of the Company until his term of office due on March 31, 2028 is approved;</w:t>
      </w:r>
    </w:p>
    <w:p>
      <w:pPr>
        <w:spacing w:after="0" w:line="121" w:lineRule="exact"/>
        <w:rPr>
          <w:sz w:val="20"/>
          <w:szCs w:val="20"/>
          <w:color w:val="auto"/>
        </w:rPr>
      </w:pPr>
    </w:p>
    <w:p>
      <w:pPr>
        <w:ind w:left="120" w:right="2360"/>
        <w:spacing w:after="0" w:line="273" w:lineRule="auto"/>
        <w:rPr>
          <w:sz w:val="20"/>
          <w:szCs w:val="20"/>
          <w:color w:val="auto"/>
        </w:rPr>
      </w:pPr>
      <w:r>
        <w:rPr>
          <w:rFonts w:ascii="Times New Roman" w:cs="Times New Roman" w:eastAsia="Times New Roman" w:hAnsi="Times New Roman"/>
          <w:sz w:val="17"/>
          <w:szCs w:val="17"/>
          <w:color w:val="auto"/>
        </w:rPr>
        <w:t>Proposal No. 3: to be resolved as an ordinary resolution that the re-election of Mr. Zhiping Qi as a director of the Company until his term of office due on March 31, 2028 is approved;</w:t>
      </w:r>
    </w:p>
    <w:p>
      <w:pPr>
        <w:spacing w:after="0" w:line="121" w:lineRule="exact"/>
        <w:rPr>
          <w:sz w:val="20"/>
          <w:szCs w:val="20"/>
          <w:color w:val="auto"/>
        </w:rPr>
      </w:pPr>
    </w:p>
    <w:p>
      <w:pPr>
        <w:ind w:left="120" w:right="2360"/>
        <w:spacing w:after="0" w:line="273" w:lineRule="auto"/>
        <w:rPr>
          <w:sz w:val="20"/>
          <w:szCs w:val="20"/>
          <w:color w:val="auto"/>
        </w:rPr>
      </w:pPr>
      <w:r>
        <w:rPr>
          <w:rFonts w:ascii="Times New Roman" w:cs="Times New Roman" w:eastAsia="Times New Roman" w:hAnsi="Times New Roman"/>
          <w:sz w:val="17"/>
          <w:szCs w:val="17"/>
          <w:color w:val="auto"/>
        </w:rPr>
        <w:t>Proposal No. 4: to be resolved as an ordinary resolution that the re-election of Mr. Zhentao Wang as a director of the Company until his term of office due on March 31, 2028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438150</wp:posOffset>
            </wp:positionV>
            <wp:extent cx="714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both"/>
        <w:ind w:left="120" w:right="23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203835</wp:posOffset>
            </wp:positionH>
            <wp:positionV relativeFrom="page">
              <wp:posOffset>551815</wp:posOffset>
            </wp:positionV>
            <wp:extent cx="7141845" cy="3008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845" cy="3008630"/>
                    </a:xfrm>
                    <a:prstGeom prst="rect">
                      <a:avLst/>
                    </a:prstGeom>
                    <a:noFill/>
                  </pic:spPr>
                </pic:pic>
              </a:graphicData>
            </a:graphic>
          </wp:anchor>
        </w:drawing>
        <w:t>Proposal No. 5: to be resolved as an ordinary resolution that the re-election of Mr. Xiongping Yu as a director of the Company until his term of office due on March 31, 2028 is approved;</w:t>
      </w:r>
    </w:p>
    <w:p>
      <w:pPr>
        <w:spacing w:after="0" w:line="121" w:lineRule="exact"/>
        <w:rPr>
          <w:sz w:val="20"/>
          <w:szCs w:val="20"/>
          <w:color w:val="auto"/>
        </w:rPr>
      </w:pPr>
    </w:p>
    <w:p>
      <w:pPr>
        <w:jc w:val="both"/>
        <w:ind w:left="120" w:right="2360"/>
        <w:spacing w:after="0" w:line="273" w:lineRule="auto"/>
        <w:rPr>
          <w:sz w:val="20"/>
          <w:szCs w:val="20"/>
          <w:color w:val="auto"/>
        </w:rPr>
      </w:pPr>
      <w:r>
        <w:rPr>
          <w:rFonts w:ascii="Times New Roman" w:cs="Times New Roman" w:eastAsia="Times New Roman" w:hAnsi="Times New Roman"/>
          <w:sz w:val="17"/>
          <w:szCs w:val="17"/>
          <w:color w:val="auto"/>
        </w:rPr>
        <w:t>Proposal No. 6: to be resolved as an ordinary resolution that the re-election of Mr. Meng Lian as a director of the Company until his term of office due on March 31, 2028 is approved;</w:t>
      </w:r>
    </w:p>
    <w:p>
      <w:pPr>
        <w:spacing w:after="0" w:line="121" w:lineRule="exact"/>
        <w:rPr>
          <w:sz w:val="20"/>
          <w:szCs w:val="20"/>
          <w:color w:val="auto"/>
        </w:rPr>
      </w:pPr>
    </w:p>
    <w:p>
      <w:pPr>
        <w:jc w:val="both"/>
        <w:ind w:left="120" w:right="2340"/>
        <w:spacing w:after="0" w:line="273" w:lineRule="auto"/>
        <w:rPr>
          <w:sz w:val="20"/>
          <w:szCs w:val="20"/>
          <w:color w:val="auto"/>
        </w:rPr>
      </w:pPr>
      <w:r>
        <w:rPr>
          <w:rFonts w:ascii="Times New Roman" w:cs="Times New Roman" w:eastAsia="Times New Roman" w:hAnsi="Times New Roman"/>
          <w:sz w:val="17"/>
          <w:szCs w:val="17"/>
          <w:color w:val="auto"/>
        </w:rPr>
        <w:t>Proposal No. 7: to be resolved as an ordinary resolution that the re-election of Ms. Ge Yan as a director of the Company until her term of office due on March 31, 2028 is approved;</w:t>
      </w:r>
    </w:p>
    <w:p>
      <w:pPr>
        <w:spacing w:after="0" w:line="121" w:lineRule="exact"/>
        <w:rPr>
          <w:sz w:val="20"/>
          <w:szCs w:val="20"/>
          <w:color w:val="auto"/>
        </w:rPr>
      </w:pPr>
    </w:p>
    <w:p>
      <w:pPr>
        <w:jc w:val="both"/>
        <w:ind w:left="120" w:right="2360"/>
        <w:spacing w:after="0" w:line="273" w:lineRule="auto"/>
        <w:rPr>
          <w:sz w:val="20"/>
          <w:szCs w:val="20"/>
          <w:color w:val="auto"/>
        </w:rPr>
      </w:pPr>
      <w:r>
        <w:rPr>
          <w:rFonts w:ascii="Times New Roman" w:cs="Times New Roman" w:eastAsia="Times New Roman" w:hAnsi="Times New Roman"/>
          <w:sz w:val="17"/>
          <w:szCs w:val="17"/>
          <w:color w:val="auto"/>
        </w:rPr>
        <w:t>Proposal No. 8: to be resolved as an ordinary resolution that the re-election of Mr. Wei Yu as a director of the Company until his term of office due on March 31, 2028 is approved;</w:t>
      </w:r>
    </w:p>
    <w:p>
      <w:pPr>
        <w:spacing w:after="0" w:line="121" w:lineRule="exact"/>
        <w:rPr>
          <w:sz w:val="20"/>
          <w:szCs w:val="20"/>
          <w:color w:val="auto"/>
        </w:rPr>
      </w:pPr>
    </w:p>
    <w:p>
      <w:pPr>
        <w:jc w:val="both"/>
        <w:ind w:left="120" w:right="2340"/>
        <w:spacing w:after="0" w:line="273" w:lineRule="auto"/>
        <w:rPr>
          <w:sz w:val="20"/>
          <w:szCs w:val="20"/>
          <w:color w:val="auto"/>
        </w:rPr>
      </w:pPr>
      <w:r>
        <w:rPr>
          <w:rFonts w:ascii="Times New Roman" w:cs="Times New Roman" w:eastAsia="Times New Roman" w:hAnsi="Times New Roman"/>
          <w:sz w:val="17"/>
          <w:szCs w:val="17"/>
          <w:color w:val="auto"/>
        </w:rPr>
        <w:t>Proposal No. 9: to be resolved as an ordinary resolution that the re-election of Dr. Hanhua Wang as a director of the Company until his term of office due on March 31, 2028 is approved;</w:t>
      </w:r>
    </w:p>
    <w:p>
      <w:pPr>
        <w:spacing w:after="0" w:line="121" w:lineRule="exact"/>
        <w:rPr>
          <w:sz w:val="20"/>
          <w:szCs w:val="20"/>
          <w:color w:val="auto"/>
        </w:rPr>
      </w:pPr>
    </w:p>
    <w:p>
      <w:pPr>
        <w:jc w:val="both"/>
        <w:ind w:left="120" w:right="2360"/>
        <w:spacing w:after="0" w:line="273" w:lineRule="auto"/>
        <w:rPr>
          <w:sz w:val="20"/>
          <w:szCs w:val="20"/>
          <w:color w:val="auto"/>
        </w:rPr>
      </w:pPr>
      <w:r>
        <w:rPr>
          <w:rFonts w:ascii="Times New Roman" w:cs="Times New Roman" w:eastAsia="Times New Roman" w:hAnsi="Times New Roman"/>
          <w:sz w:val="17"/>
          <w:szCs w:val="17"/>
          <w:color w:val="auto"/>
        </w:rPr>
        <w:t>Proposal No. 10: to be resolved as an ordinary resolution that the re-election of Dr. Peng Wu as a director of the Company until his term of office due on March 31, 2028 is approved;</w:t>
      </w:r>
    </w:p>
    <w:p>
      <w:pPr>
        <w:spacing w:after="0" w:line="121" w:lineRule="exact"/>
        <w:rPr>
          <w:sz w:val="20"/>
          <w:szCs w:val="20"/>
          <w:color w:val="auto"/>
        </w:rPr>
      </w:pPr>
    </w:p>
    <w:p>
      <w:pPr>
        <w:jc w:val="both"/>
        <w:ind w:left="120" w:right="2340"/>
        <w:spacing w:after="0" w:line="273" w:lineRule="auto"/>
        <w:rPr>
          <w:sz w:val="20"/>
          <w:szCs w:val="20"/>
          <w:color w:val="auto"/>
        </w:rPr>
      </w:pPr>
      <w:r>
        <w:rPr>
          <w:rFonts w:ascii="Times New Roman" w:cs="Times New Roman" w:eastAsia="Times New Roman" w:hAnsi="Times New Roman"/>
          <w:sz w:val="17"/>
          <w:szCs w:val="17"/>
          <w:color w:val="auto"/>
        </w:rPr>
        <w:t>Proposal No. 11: to be resolved as an ordinary resolution that the re-election of Dr. Lei Deng as a director of the Company until his term of office due on March 31, 2028 is approved;</w:t>
      </w:r>
    </w:p>
    <w:p>
      <w:pPr>
        <w:spacing w:after="0" w:line="121" w:lineRule="exact"/>
        <w:rPr>
          <w:sz w:val="20"/>
          <w:szCs w:val="20"/>
          <w:color w:val="auto"/>
        </w:rPr>
      </w:pPr>
    </w:p>
    <w:p>
      <w:pPr>
        <w:jc w:val="both"/>
        <w:ind w:left="120" w:right="2340"/>
        <w:spacing w:after="0" w:line="260" w:lineRule="auto"/>
        <w:rPr>
          <w:sz w:val="20"/>
          <w:szCs w:val="20"/>
          <w:color w:val="auto"/>
        </w:rPr>
      </w:pPr>
      <w:r>
        <w:rPr>
          <w:rFonts w:ascii="Times New Roman" w:cs="Times New Roman" w:eastAsia="Times New Roman" w:hAnsi="Times New Roman"/>
          <w:sz w:val="17"/>
          <w:szCs w:val="17"/>
          <w:color w:val="auto"/>
        </w:rPr>
        <w:t>Proposal No. 12: to be resolved as an ordinary resolution that any one of the directors of the Company be authorised to take any and every action that might be necessary to effect the foregoing resolutions as such Director, in his or her absolute discretions, thinks fit.</w:t>
      </w:r>
    </w:p>
    <w:p>
      <w:pPr>
        <w:spacing w:after="0" w:line="25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6"/>
          <w:szCs w:val="16"/>
          <w:color w:val="auto"/>
        </w:rPr>
        <w:t>Please indicate your voting preference by ticking, or inserting the number of shares to be voted for or against or to abstain, the boxes above in respect of each resolution. If you do not complete this section, your proxy will vote or abstain at his/her discretion, as he/she will on any other business that may be raised at the EGM.</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You may instruct your proxy to vote some or all of the shares in respect of which the proxy is appointed either for or against any resolution and/or abstain from voting as such proxy need not cast the votes in respect of your shares in the same way on any resolution. In this case, please specify in the voting boxes above the number of shares in respect of which your proxy is to vote for or against or to abstain in respect of each resolution.</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you have appointed more than one proxy, please specify in the voting boxes above the number of shares in respect of which each proxy is entitled to exercise the related votes. If you do not complete this information, the first person listed above shall be entitled to exercise all the votes in relation to the relevant resolution. If you have appointed more than one proxy, the first person listed above shall be entitled to vote on a show of hands.</w:t>
      </w:r>
    </w:p>
    <w:p>
      <w:pPr>
        <w:spacing w:after="0" w:line="16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If you have appointed another proxy to vote on a show of hands in a separate form (in which case the proxy appointed in this form may not vote on a show of hands) please tick this box: </w:t>
      </w:r>
      <w:r>
        <w:rPr>
          <w:rFonts w:ascii="MS PGothic" w:cs="MS PGothic" w:eastAsia="MS PGothic" w:hAnsi="MS PGothic"/>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13970</wp:posOffset>
            </wp:positionV>
            <wp:extent cx="28568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13970</wp:posOffset>
            </wp:positionV>
            <wp:extent cx="28568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13970</wp:posOffset>
            </wp:positionV>
            <wp:extent cx="2856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case of joint holders the senior holder (see note 4 below) should sign.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provide the names of all other joint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20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color w:val="auto"/>
        </w:rPr>
        <w:t>IF YOU HAVE EXECUTED A STANDING PROXY, YOUR STANDING PROXY WILL BE VOTED AS INDICATED IN NOTE 2 BELOW, UNLESS YOU ATTEND THE EGM IN PERSON OR COMPLETE AND SEND IN THIS FORM APPOINTING A SPECIFIC PROXY.</w:t>
      </w:r>
    </w:p>
    <w:p>
      <w:pPr>
        <w:spacing w:after="0" w:line="154" w:lineRule="exact"/>
        <w:rPr>
          <w:sz w:val="20"/>
          <w:szCs w:val="20"/>
          <w:color w:val="auto"/>
        </w:rPr>
      </w:pPr>
    </w:p>
    <w:p>
      <w:pPr>
        <w:jc w:val="both"/>
        <w:ind w:left="300" w:hanging="299"/>
        <w:spacing w:after="0" w:line="260"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need not be a shareholder of the Company. A shareholder entitled to attend and vote at the EGM is entitled to appoint one or more proxies to attend and vote in his/her stead. Please insert the name of the person(s) of your own choice that you wish to be appointed proxy in the space provided, failing which the Chairman will be appointed as your proxy.</w:t>
      </w:r>
    </w:p>
    <w:p>
      <w:pPr>
        <w:spacing w:after="0" w:line="168"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standing proxy previously deposited by a shareholder with the Company will be voted in favour of the resolutions to be proposed at the EGM unless revoked prior to the EGM or the shareholder attends the EGM in person or completes and returns this form appointing a specific proxy.</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52"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you propose to attend the relevant meeting(s) in person, you are strongly advised to complete and return this form of proxy in accordance with these instructions. To be valid, this form must be completed and deposited (together with any power of attorney or other authority under which it is signed or a notarially certified copy of that power or authority) at the offices of the Company located at 4 Pandan Crescent #03-03, Singapore, 128475 or send copies of the foregoing by email to 2026egm@lightinthebox.com, as soon as possible and in any event not later than 48 hours before the time for holding the relevant meeting or any adjourned meeting. Returning this completed form of proxy will not preclude you from attending the relevant meeting(s) and voting in person if you so wish.</w:t>
      </w:r>
    </w:p>
    <w:p>
      <w:pPr>
        <w:spacing w:after="0" w:line="175" w:lineRule="exact"/>
        <w:rPr>
          <w:rFonts w:ascii="Times New Roman" w:cs="Times New Roman" w:eastAsia="Times New Roman" w:hAnsi="Times New Roman"/>
          <w:sz w:val="17"/>
          <w:szCs w:val="17"/>
          <w:color w:val="auto"/>
        </w:rPr>
      </w:pPr>
    </w:p>
    <w:p>
      <w:pPr>
        <w:jc w:val="both"/>
        <w:ind w:left="300" w:hanging="299"/>
        <w:spacing w:after="0" w:line="255"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two or more persons are jointly registered as holders of a share, the vote of the senior person who tenders a vote, whether in person or by proxy, shall be accepted to the exclusion of the votes of other joint holders. For this purpose seniority shall be determined by the order in which the names stand on the Company’s register of shareholders in respect of the relevant shares. The senior holder should sign this form, but the names of all other joint holders should be stated on the form in the space provided.</w:t>
      </w:r>
    </w:p>
    <w:p>
      <w:pPr>
        <w:spacing w:after="0" w:line="174"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form is returned without an indication as to how the proxy shall vote, the proxy will exercise his/her discretion as to whether he/she votes and if so how.</w:t>
      </w:r>
    </w:p>
    <w:p>
      <w:pPr>
        <w:spacing w:after="0" w:line="206" w:lineRule="exact"/>
        <w:rPr>
          <w:rFonts w:ascii="Times New Roman" w:cs="Times New Roman" w:eastAsia="Times New Roman" w:hAnsi="Times New Roman"/>
          <w:sz w:val="17"/>
          <w:szCs w:val="17"/>
          <w:color w:val="auto"/>
        </w:rPr>
      </w:pPr>
    </w:p>
    <w:p>
      <w:pPr>
        <w:ind w:left="300" w:hanging="299"/>
        <w:spacing w:after="0" w:line="273" w:lineRule="auto"/>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form of proxy is for use by shareholders only. If the appointor is a corporate entity this form of proxy must either be under its seal or under the hand of some officer or attorney duly authorised for that purpose.</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alterations made to this form must be initialled by you.</w:t>
      </w:r>
    </w:p>
    <w:p>
      <w:pPr>
        <w:spacing w:after="0" w:line="20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may vote on a show of hands or on a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9" w:name="page10"/>
    <w:bookmarkEnd w:id="9"/>
    <w:p>
      <w:pPr>
        <w:ind w:left="846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-111125</wp:posOffset>
            </wp:positionV>
            <wp:extent cx="6774815" cy="9120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4815" cy="9120505"/>
                    </a:xfrm>
                    <a:prstGeom prst="rect">
                      <a:avLst/>
                    </a:prstGeom>
                    <a:noFill/>
                  </pic:spPr>
                </pic:pic>
              </a:graphicData>
            </a:graphic>
          </wp:anchor>
        </w:drawing>
      </w:r>
    </w:p>
    <w:p>
      <w:pPr>
        <w:sectPr>
          <w:pgSz w:w="11900" w:h="16838" w:orient="portrait"/>
          <w:cols w:equalWidth="0" w:num="1">
            <w:col w:w="9320"/>
          </w:cols>
          <w:pgMar w:left="1440" w:top="333" w:right="11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815" cy="91205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4815" cy="9120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2026-04-17T15:29:45Z</dcterms:created>
  <dcterms:modified xsi:type="dcterms:W3CDTF">2026-04-17T15:29:45Z</dcterms:modified>
</cp:coreProperties>
</file>