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001-35942</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LightInTheBox Holding Co., Ltd.</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 Pandan Crescent #03-03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(128475)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20-F</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LightInTheBox Reports First Quarter 2026 Financial Results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 He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LightInTheBox Reports First Quarter 2026 Financial Results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Revenues Return to Double-Digit Growth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Record First-Quarter Profit of $1.2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Eighth Consecutive Profitable Quarter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SINGAPORE, May 12, 2026 /PRNewswire/ -- LightInTheBox Holding Co., Ltd. (NYSE: LITB) ("LightInTheBox" or the "Company"), a global consumer lifestyle company, today announced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5" w:lineRule="exact"/>
        <w:rPr>
          <w:sz w:val="20"/>
          <w:szCs w:val="20"/>
          <w:color w:val="auto"/>
        </w:rPr>
      </w:pPr>
    </w:p>
    <w:p>
      <w:pPr>
        <w:ind w:left="66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$52.0 million, an 11% increase year over year, making a clear turnaround and sustained recovery from the consecutive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declines throughout the first three quarters of 2025.</w:t>
      </w:r>
    </w:p>
    <w:p>
      <w:pPr>
        <w:spacing w:after="0" w:line="15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$33.8 million, compared with $30.6 million in the same quarter last 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65.0%, compared with 65.2% in the same quarter last year, which remained stable.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$32.7 million, compared with $30.5 million in the same quarter last year.</w:t>
      </w:r>
    </w:p>
    <w:p>
      <w:pPr>
        <w:spacing w:after="0" w:line="224" w:lineRule="exact"/>
        <w:rPr>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Fulfillment Expenses </w:t>
      </w:r>
      <w:r>
        <w:rPr>
          <w:rFonts w:ascii="Times New Roman" w:cs="Times New Roman" w:eastAsia="Times New Roman" w:hAnsi="Times New Roman"/>
          <w:sz w:val="18"/>
          <w:szCs w:val="18"/>
          <w:color w:val="auto"/>
        </w:rPr>
        <w:t>increased by 5% year over year to $4.1 million.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increased by 12% year over year to $24.6 million.</w:t>
      </w:r>
    </w:p>
    <w:p>
      <w:pPr>
        <w:spacing w:after="0" w:line="225"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decreased by 15% year over year to $4.2 million, of which Research and Development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$2.3 million.</w:t>
      </w:r>
    </w:p>
    <w:p>
      <w:pPr>
        <w:spacing w:after="0" w:line="154" w:lineRule="exact"/>
        <w:rPr>
          <w:rFonts w:ascii="Times New Roman" w:cs="Times New Roman" w:eastAsia="Times New Roman" w:hAnsi="Times New Roman"/>
          <w:sz w:val="18"/>
          <w:szCs w:val="18"/>
          <w:color w:val="auto"/>
        </w:rPr>
      </w:pPr>
    </w:p>
    <w:p>
      <w:pPr>
        <w:ind w:left="660" w:right="20" w:hanging="328"/>
        <w:spacing w:after="0" w:line="28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reached $1.2 million, compared with $0.1 million in the same quarter last year, marking sustained profitability amidst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challenges.</w:t>
      </w:r>
    </w:p>
    <w:p>
      <w:pPr>
        <w:spacing w:after="0" w:line="155"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$1.5 million, compared with $0.6 million in the same quarter last year.</w:t>
      </w:r>
    </w:p>
    <w:p>
      <w:pPr>
        <w:spacing w:after="0" w:line="228" w:lineRule="exact"/>
        <w:rPr>
          <w:sz w:val="20"/>
          <w:szCs w:val="20"/>
          <w:color w:val="auto"/>
        </w:rPr>
      </w:pPr>
    </w:p>
    <w:p>
      <w:pPr>
        <w:jc w:val="both"/>
        <w:ind w:hanging="3"/>
        <w:spacing w:after="0" w:line="261" w:lineRule="auto"/>
        <w:rPr>
          <w:sz w:val="20"/>
          <w:szCs w:val="20"/>
          <w:color w:val="auto"/>
        </w:rPr>
      </w:pPr>
      <w:r>
        <w:rPr>
          <w:rFonts w:ascii="Times New Roman" w:cs="Times New Roman" w:eastAsia="Times New Roman" w:hAnsi="Times New Roman"/>
          <w:sz w:val="18"/>
          <w:szCs w:val="18"/>
          <w:color w:val="auto"/>
        </w:rPr>
        <w:t>“We are very pleased to report our eighth consecutive profitable quarter and a record first-quarter profit of $1.2 million since 2022, despite Q1 typically being our seasonally weakest period,” commented Jian He, CEO of LightInTheBox. “This marks our second consecutive quarter of year-over-year revenue growth, with revenues increased by 11% to $52 million. Our branded apparel business continued to gain momentum, growing over 81% year over year and accounting for 24% of total revenue, up from 15% in the first quarter of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results reflect the continued progress of our transformation into a global consumer lifestyle company. By offering highly customized products that create deep emotional resonance for festivals, holidays, and special occasions, combined with our brand matrix strategy across women’s fashion, golf apparel, and light party dresses, we are driving stronger engagement and customer loyalty. With sustained profitability, disciplined cost control, and an ongoing share repurchase program, we believe we are well positioned to pursue continued revenue and profit growth, as well as greater shareholder value throughout 2026.” Mr. He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Company’s board of directors authorized a share repurchase program under which the Company may repurchase up to $0.7 million of its ordinary shares in the form of ADSs no later than June 30, 2025. The Company has since extended the share repurchase program through December 31, 2025, then further to June 30, 2026, with total repurchase amount up to $3.0 million. As of May 8, 2026, the Company has repurchased 565,217 ADSs with a total aggregate value of approximately $1.3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hold an earnings conference call to discuss the results at 8:00 a.m. Eastern Time May 12, 2026 (8:00 p.m. Hong Kong/Singapore Time on the same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Preregistration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can register for the conference call by going to https://s1.c-conf.com/diamondpass/10054770-hu76t5.html. Upon registration, participants will receive dial-in numbers, an event passcode, and a unique access PIN.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join the conference, simply dial the number in the calendar invite you receive after preregistering, enter the event passcode followed by your unique access PIN, and you will be connected to the conference instantly.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telephone replay will be available two hours after the conclusion of the conference call through May 16, 2026. The dial-in details 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US/Canada: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+1-855-883-1031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10053714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https://ir.ador.com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LightInTheBox Holding Co.,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2007, LightInTheBox is a global direct-to-consumer (DTC) e-commerce company dedicated to delivering a joyful lifestyle to consumers worldwide. Leveraging AI-driven market insights and agile supply chain systems, it aims to capture consumer preferences and sentiment to offer differentiated products, driving consumer engagement through deep emotional resonance. LightInTheBox also adopts a brand matrix strategy by launching its own apparel brands such as Ador to further strengthen its position as a consumer lifestyle company. Additionally, LightInTheBox offers a comprehensive suite of services to e-commerce companies, including advertising, supply chain management, payment processing, order fulfillment, and shipping and delivery solutions.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https://ir.ador.com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business, the Company considers and uses a non-GAAP measure, Adjusted EBITDA, as a supplemental measure to review and assess operating performance. The presentation of this non-GAAP financial measure is not intended to be considered in isolation or as a substitute for the financial information prepared and presented in accordance with accounting principles generally accepted in the United States of America ("U.S. GAAP"). The Company's non-GAAP financial measure excludes share-based compensation expenses, depreciation and amortization expenses, interest income, interest expenses and income tax benefit /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this non-GAAP financial measure because it is used by management to evaluate operating performance and formulate business plans. The Company believes that the non-GAAP financial measure helps identify underlying trends in its business. The Company also believes that the non-GAAP financial measure could provide further information about the Company's results of operations and enhance the overall understanding of the Company's past performance and future prospects.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 is not defined under U.S. GAAP and is not presented in accordance with U.S. GAAP. The non-GAAP financial measure has limitations as an analytical tool. The Company's non-GAAP financial measure does not reflect all items of income and expenses that affect the Company's operations and does not represent the residual cash flow available for discretionary expenditures. Further, the non-GAAP measure may differ from the non-GAAP information used by other companies, including peer companies, and therefore their comparability may be limited. The Company compensates for the limitations by reconciling the non-GAAP financial measure to the nearest U.S. GAAP performance measure, all of which should be considered when evaluating performance. The Company encourages you to review the Company's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 please see the table captioned "Unaudited Reconciliations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LightInTheBox's beliefs and expectations, the business outlook and quotations from management in this announcement, as well as LightInTheBox's strategic and operational plans, are or contain forward-looking statements.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LightInTheBox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LightInTheBox's goals and strategies; LightInTheBox's future business development, results of operations and financial condition; the expected growth of the global online retail market; LightInTheBox's ability to attract customers and further enhance customer experience and product offerings; LightInTheBox's ability to strengthen its supply chain efficiency and optimize its logistics network; LightInTheBox's expectations regarding demand for and market acceptance of its products; competition; fluctuations in general economic and business conditions; changes in tariffs and trade policies; and assumptions underlying or related to any of the foregoing. Further information regarding these and other risks is included in LightInTheBox's filings with the SEC. All information provided in this press release and in the attachments is as of the date of this press release, and LightInTheBox does not undertake any obligation to update any forward-looking statement, except as required under applicable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LightInTheBox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ir@ador.com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Octans Capital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litb@octanscap.com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tcPr>
          <w:p>
            <w:pPr>
              <w:spacing w:after="0"/>
              <w:rPr>
                <w:sz w:val="19"/>
                <w:szCs w:val="19"/>
                <w:color w:val="auto"/>
              </w:rPr>
            </w:pP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38"/>
        </w:trPr>
        <w:tc>
          <w:tcPr>
            <w:tcW w:w="6300" w:type="dxa"/>
            <w:vAlign w:val="bottom"/>
          </w:tcPr>
          <w:p>
            <w:pPr>
              <w:spacing w:after="0"/>
              <w:rPr>
                <w:sz w:val="20"/>
                <w:szCs w:val="20"/>
                <w:color w:val="auto"/>
              </w:rPr>
            </w:pPr>
          </w:p>
        </w:tc>
        <w:tc>
          <w:tcPr>
            <w:tcW w:w="31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23,629</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15,237</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2,319</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1,872</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1,355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4,943</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4,780</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1,884</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2,204</w:t>
            </w:r>
          </w:p>
        </w:tc>
      </w:tr>
      <w:tr>
        <w:trPr>
          <w:trHeight w:val="209"/>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34,130</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25,948</w:t>
            </w:r>
          </w:p>
        </w:tc>
        <w:tc>
          <w:tcPr>
            <w:tcW w:w="100" w:type="dxa"/>
            <w:vAlign w:val="bottom"/>
            <w:tcBorders>
              <w:bottom w:val="single" w:sz="8" w:color="CCEEFF"/>
            </w:tcBorders>
          </w:tcPr>
          <w:p>
            <w:pPr>
              <w:spacing w:after="0"/>
              <w:rPr>
                <w:sz w:val="18"/>
                <w:szCs w:val="18"/>
                <w:color w:val="auto"/>
              </w:rPr>
            </w:pPr>
          </w:p>
        </w:tc>
      </w:tr>
      <w:tr>
        <w:trPr>
          <w:trHeight w:val="210"/>
        </w:trPr>
        <w:tc>
          <w:tcPr>
            <w:tcW w:w="6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1,313</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2,180</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27,800</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28,175</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6,068</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Long-term rental deposits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434</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r>
      <w:tr>
        <w:trPr>
          <w:trHeight w:val="263"/>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72,002</w:t>
            </w:r>
          </w:p>
        </w:tc>
        <w:tc>
          <w:tcPr>
            <w:tcW w:w="2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62,942</w:t>
            </w:r>
          </w:p>
        </w:tc>
        <w:tc>
          <w:tcPr>
            <w:tcW w:w="100" w:type="dxa"/>
            <w:vAlign w:val="bottom"/>
            <w:tcBorders>
              <w:bottom w:val="single" w:sz="8" w:color="CCEEFF"/>
            </w:tcBorders>
          </w:tcPr>
          <w:p>
            <w:pPr>
              <w:spacing w:after="0"/>
              <w:rPr>
                <w:sz w:val="22"/>
                <w:szCs w:val="22"/>
                <w:color w:val="auto"/>
              </w:rPr>
            </w:pPr>
          </w:p>
        </w:tc>
      </w:tr>
      <w:tr>
        <w:trPr>
          <w:trHeight w:val="196"/>
        </w:trPr>
        <w:tc>
          <w:tcPr>
            <w:tcW w:w="6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715</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12,309</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8,386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9,194</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9,897</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2,818</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2,207</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48,956</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43,031</w:t>
            </w: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73,992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1,886</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1,405</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107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3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280,646</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280,650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(29,392)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(29,799)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33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396</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(1,723)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3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(253,927)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(252,768)</w:t>
            </w:r>
          </w:p>
        </w:tc>
      </w:tr>
      <w:tr>
        <w:trPr>
          <w:trHeight w:val="21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72,002</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6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44,800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50,058</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1,918</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(15,849)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(17,798)</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30,647</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18"/>
                <w:szCs w:val="18"/>
                <w:color w:val="auto"/>
              </w:rPr>
            </w:pP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Fulfillment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(3,870)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(21,896)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(24,589)</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(4,962)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income, net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LightInTheBox Holding Co., Ltd.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100" w:type="dxa"/>
            <w:vAlign w:val="bottom"/>
            <w:tcBorders>
              <w:bottom w:val="single" w:sz="8" w:color="CCEEFF"/>
            </w:tcBorders>
          </w:tcPr>
          <w:p>
            <w:pPr>
              <w:spacing w:after="0"/>
              <w:rPr>
                <w:sz w:val="22"/>
                <w:szCs w:val="22"/>
                <w:color w:val="auto"/>
              </w:rPr>
            </w:pPr>
          </w:p>
        </w:tc>
      </w:tr>
      <w:tr>
        <w:trPr>
          <w:trHeight w:val="196"/>
        </w:trPr>
        <w:tc>
          <w:tcPr>
            <w:tcW w:w="8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numbers of shares used in calculating net income per ordinary share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220,681,179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215,924,273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220,831,517</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216,080,101</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ADS (12 ordinary shares equal to 1 ADS)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r>
      <w:tr>
        <w:trPr>
          <w:trHeight w:val="684"/>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or otherwise noted)</w:t>
      </w:r>
    </w:p>
    <w:p>
      <w:pPr>
        <w:spacing w:after="0" w:line="21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9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gridSpan w:val="2"/>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1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before share-based compensation expense, interest income, interest expense, income tax benefit and depreciation and amortization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2026-05-12T06:01:13Z</dcterms:created>
  <dcterms:modified xsi:type="dcterms:W3CDTF">2026-05-12T06:01:13Z</dcterms:modified>
</cp:coreProperties>
</file>