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2889-1_4seq1.xml.htm"/>
      <w:bookmarkStart w:id="1" w:name="kstm262288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 Jian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LIGHTINTHEBOX HOLDING CO.,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PANDAN CRESCENT #03-03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128475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LightInTheBox Holding Co.,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8"/>
        <w:gridCol w:w="897"/>
        <w:gridCol w:w="771"/>
        <w:gridCol w:w="596"/>
        <w:gridCol w:w="331"/>
        <w:gridCol w:w="1126"/>
        <w:gridCol w:w="407"/>
        <w:gridCol w:w="873"/>
        <w:gridCol w:w="1216"/>
        <w:gridCol w:w="938"/>
        <w:gridCol w:w="98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Shares, par value $ 0.000067 per share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4,254,553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0.2567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4,254,553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Conner Growth Holding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acquired the reported Ordinary Shares indirectly through Conner Growth Holding Limited, an entity controlled by the reporting person, in a private placement by the Issuer pursuant to the terms of a subscription agreement, dated as of July 10, 2026, by and between the Issuer and Conner Growth Holding Limited, at a purchase price of $0.2566667 per Ordinary Share (equivalent to $3.08 per American Depositary Share, each representing twelve (12) Ordinary Shares).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the sole beneficial owner of Conner Growth Holding Limited.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 Jian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4627" TargetMode="External"/><Relationship Id="rId5" Type="http://schemas.openxmlformats.org/officeDocument/2006/relationships/hyperlink" Target="http://www.sec.gov/cgi-bin/browse-edgar?action=getcompany&amp;CIK=00015238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668</Words>
  <Characters>3657</Characters>
  <CharactersWithSpaces>4255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