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191770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May 2026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001-35942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LightInTheBox Holding Co., Ltd.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4 Pandan Crescent #03-03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Singapore (128475)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offices)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of Form 20-F or Form 40-F: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4600"/>
        <w:spacing w:after="0" w:line="207" w:lineRule="exact"/>
        <w:rPr>
          <w:sz w:val="20"/>
          <w:szCs w:val="20"/>
          <w:color w:val="auto"/>
        </w:rPr>
      </w:pP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x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  Form 20-F</w:t>
      </w: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  Form 40-F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206375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652145</wp:posOffset>
            </wp:positionV>
            <wp:extent cx="71323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29" w:right="1440" w:bottom="1440" w:gutter="0" w:footer="0" w:header="0"/>
        </w:sectPr>
      </w:pPr>
    </w:p>
    <w:bookmarkStart w:id="1" w:name="page2"/>
    <w:bookmarkEnd w:id="1"/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 May 25, 2026, Singapore time, LightInTheBox Holding Co., Ltd. (the “Company”), a global consumer lifestyle company, held its extraordinary general meeting of shareholders (the “EGM”).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proposals identified herein were previously disclosed in the Company’s Notice of Extraordinary General Meeting, which was furnished with the U.S.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Securities and Exchange Commission on Form 6-K on April 17, 2026.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Proposals 2, 3, 4, 6, 11 and 12 were passed at the EGM. Proposals 1, 5, 7, 8, 9 and 10 were not passed at the EGM.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20"/>
          </w:cols>
          <w:pgMar w:left="320" w:top="904" w:right="359" w:bottom="1440" w:gutter="0" w:footer="0" w:header="0"/>
        </w:sectPr>
      </w:pPr>
    </w:p>
    <w:bookmarkStart w:id="2" w:name="page3"/>
    <w:bookmarkEnd w:id="2"/>
    <w:p>
      <w:pPr>
        <w:ind w:left="5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LIGHTINTHEBOX HOLDING CO., LTD.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Jian He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365125</wp:posOffset>
            </wp:positionH>
            <wp:positionV relativeFrom="paragraph">
              <wp:posOffset>17145</wp:posOffset>
            </wp:positionV>
            <wp:extent cx="32061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Jian He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  <w:tab/>
        <w:t>Chief Executive Officer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May 26, 2026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5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280"/>
      </w:cols>
      <w:pgMar w:left="320" w:top="900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2026-05-26T05:10:16Z</dcterms:created>
  <dcterms:modified xsi:type="dcterms:W3CDTF">2026-05-26T05:10:16Z</dcterms:modified>
</cp:coreProperties>
</file>