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LightInTheBox Holding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US$0.000067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 Jian</w:t>
              <w:br/>
              <w:t>4 Pandan Crescent, #03-03</w:t>
              <w:br/>
              <w:t>Singapore, U0, 128475</w:t>
              <w:br/>
              <w:t>65 6305 9667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Conner Growth Holding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52,958,777.00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52,958,777.00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52,958,777.00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Including (a) 4,058,685 ADSs, representing 48,704,224 ordinary shares, and (b) 4,254,553 ordinary shares. Note to Row (13): The calculation of this percentage is based on 213,974,097 ordinary shares of the Issuer, par value US$0.000067 per share, outstanding as of June 30, 2026, as informed by the Issuer, plus 21,397,409 ordinary shares issued in a private placement pursuant to subscription agreements with certain investors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 Jian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56,724,977.00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56,724,977.00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56,724,977.00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and (11): Including (a) 4,254,553 ordinary shares and 4,058,685 ADSs, representing 48,704,224 ordinary shares held by Conner Growth Holding Limited, and (b) 313,850 ADSs, representing 3,766,200 ordinary shares held by He Jian. Note to Row (13): The calculation of this percentage is based on 213,974,097 ordinary shares of the Issuer, par value US$0.000067 per share, outstanding as of June 30, 2026, as informed by the Issuer, plus 21,397,409 ordinary shares issued in a private placement pursuant to subscription agreements with certain investors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US$0.000067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LightInTheBox Holding Co., Ltd.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 Pandan Crescent, #03-03, Singapore, SINGAPORE , 128475.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Twelve Ordinary Shares of the Issuer are represented by one American depository share (the "ADS"). This Amendment No. 9 amends and supplements the statement on Schedule 13D filed on March 6, 2020 (the "Initial Statement"), the Amendment No. 1 on Schedule 13D/A filed on June 25, 2021, the Amendment No. 2 on Schedule 13D/A filed on September 23, 2022, the Amendment No. 3 on Schedule 13D/A filed on October 3, 2022, the Amendment No. 4 on Schedule 13D/A filed on January 4, 2023, the Amendment No. 5 on Schedule 13D/A filed on June 6, 2023, the Amendment No. 6 on Schedule 13D/A filed on December 13, 2023, the Amendment No. 7 on Schedule 13D/A filed on January 3, 2024 and the Amendment No. 8 on Schedule 13D/A filed on August 28, 2024. Other than as amended by this Amendment, the disclosures in the Initial Statement are unchanged. Responses to each item of this Amendment are incorporated by reference into the response to each other item, as applicable.</w:t>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This Statement is being filed by the following persons (each a "Reporting Person" and, collectively, the "Reporting Persons"): Conner Growth Holding Limited, a company incorporated in the British Virgin Islands ("Conner Growth"); and Mr. He Jian, an individual ("He Jian").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address of the principal business and office of the Reporting Persons is 4 Pandan Crescent, #03-03 Singapore (128475).</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The principal occupation of He Jian is (i) the Chief Executive Officer and the chairman of the board of directors of the Issuer and (ii) the sole beneficial owner and the sole director of Conner Growth. The principal business of Conner Growth is to hold He Jian's beneficial interest in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During the last five years, neither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0"/>
              <w:jc w:val="left"/>
              <w:rPr/>
            </w:pPr>
            <w:r>
              <w:rPr/>
              <w:t>Conner Growth Holding Limited - British Virgin Islands He Jian -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responses of the Reporting Persons to Rows (4) of the cover pages and the information set forth in Item 4 of this Amendment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Item 4 of the Schedule 13D is hereby amended by inserting the following information at the end of Item 4: On July 10, 2026, Conner Growth entered into a subscription agreement (the "Subscription Agreement") with the Issuer, pursuant to which Conner Growth agreed to purchase 4,254,553 Ordinary Shares of the Issuer (the "Subscribed Shares") in a private placement (the "PIPE") at a purchase price of US$0.2566667 per Ordinary Share (equivalent to US$3.08 per ADS, each representing twelve (12) Ordinary Shares), for an aggregate purchase price of approximately US$1,092,003. The PIPE was consummated on August 10, 2026. As a result of the closing of the PIPE, He Jian beneficially holds 56,724,977 Ordinary Shares in the form of ordinary shares and ADSs as of August 10, 2026, representing approximately 24.1% of the total outstanding Ordinary Shares of the Issuer. The Subscription Agreement contains customary representations, warranties, and covenants of the Issuer and Conner Growth. Pursuant to the Subscription Agreement, the Issuer has agreed to file a registration statement with respect to the resale of Subscribed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The responses of the Reporting Persons to Rows (7) through (13) of the cover pages and the information set forth in Item 2 of this Amendment are incorporated herein by reference. He Jian is the sole beneficial owner of Conner Growth. Pursuant to Rule 13d-3, he may be deemed to have Conner Growth's beneficial ownership over the Issuer. Accordingly, He Jian may be deemed to beneficially own 56,724,977 Ordinary Shares, representing approximately 24.1% of the total outstanding Ordinary Shares of the Issuer. This percentage is calculated based on the total of 213,974,097 outstanding Ordinary Shares as of June 30, 2026 plus 21,397,409 ordinary shares issued in a private placement pursuant to subscription agreements with certain investors on August 10, 2026, as informed by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The responses of the Reporting Persons to Rows (7) through (13) of the cover pages and the information set forth in Item 2 of this Amendment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Except as described in Item 4 which is incorporated herein by this reference, since the filing of the Amendment No. 8 on Schedule 13D/A filed on August 28, 2024, none of the Reporting Persons has effected any transactions in Ordinary Shares or ADS.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The information set forth in Item 4 of this Amendment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Joint Filing Agreement, dated August 11, 2026, by and between Conner Growth Holding Limited and He Jian.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Conner Growth Holding Limited</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3"/>
        <w:gridCol w:w="4522"/>
      </w:tblGrid>
      <w:tr>
        <w:trPr/>
        <w:tc>
          <w:tcPr>
            <w:tcW w:w="56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He Jian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He Jian,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522" w:type="dxa"/>
            <w:tcBorders/>
            <w:vAlign w:val="center"/>
          </w:tcPr>
          <w:p>
            <w:pPr>
              <w:pStyle w:val="TableContents"/>
              <w:bidi w:val="0"/>
              <w:spacing w:before="0" w:after="283"/>
              <w:jc w:val="left"/>
              <w:rPr>
                <w:sz w:val="4"/>
                <w:szCs w:val="4"/>
              </w:rPr>
            </w:pPr>
            <w:r>
              <w:rPr>
                <w:sz w:val="4"/>
                <w:szCs w:val="4"/>
              </w:rPr>
            </w:r>
          </w:p>
        </w:tc>
      </w:tr>
    </w:tbl>
    <w:tbl>
      <w:tblPr>
        <w:tblW w:w="2000" w:type="dxa"/>
        <w:jc w:val="left"/>
        <w:tblInd w:w="0" w:type="dxa"/>
        <w:tblLayout w:type="fixed"/>
        <w:tblCellMar>
          <w:top w:w="28" w:type="dxa"/>
          <w:left w:w="28" w:type="dxa"/>
          <w:bottom w:w="28" w:type="dxa"/>
          <w:right w:w="28" w:type="dxa"/>
        </w:tblCellMar>
      </w:tblPr>
      <w:tblGrid>
        <w:gridCol w:w="1000"/>
        <w:gridCol w:w="1000"/>
      </w:tblGrid>
      <w:tr>
        <w:trPr/>
        <w:tc>
          <w:tcPr>
            <w:tcW w:w="1000" w:type="dxa"/>
            <w:tcBorders/>
            <w:vAlign w:val="center"/>
          </w:tcPr>
          <w:p>
            <w:pPr>
              <w:pStyle w:val="TableContents"/>
              <w:bidi w:val="0"/>
              <w:spacing w:before="0" w:after="0"/>
              <w:jc w:val="left"/>
              <w:rPr/>
            </w:pPr>
            <w:r>
              <w:rPr/>
              <w:t> </w:t>
            </w:r>
          </w:p>
          <w:tbl>
            <w:tblPr>
              <w:tblW w:w="886" w:type="dxa"/>
              <w:jc w:val="left"/>
              <w:tblInd w:w="0" w:type="dxa"/>
              <w:tblLayout w:type="fixed"/>
              <w:tblCellMar>
                <w:top w:w="28" w:type="dxa"/>
                <w:left w:w="28" w:type="dxa"/>
                <w:bottom w:w="28" w:type="dxa"/>
                <w:right w:w="28" w:type="dxa"/>
              </w:tblCellMar>
            </w:tblPr>
            <w:tblGrid>
              <w:gridCol w:w="886"/>
            </w:tblGrid>
            <w:tr>
              <w:trPr/>
              <w:tc>
                <w:tcPr>
                  <w:tcW w:w="886" w:type="dxa"/>
                  <w:tcBorders/>
                  <w:vAlign w:val="center"/>
                </w:tcPr>
                <w:p>
                  <w:pPr>
                    <w:pStyle w:val="TableContents"/>
                    <w:bidi w:val="0"/>
                    <w:spacing w:before="0" w:after="0"/>
                    <w:jc w:val="left"/>
                    <w:rPr/>
                  </w:pPr>
                  <w:r>
                    <w:rPr/>
                    <w:t>He Jian</w:t>
                  </w:r>
                </w:p>
              </w:tc>
            </w:tr>
          </w:tbl>
          <w:p>
            <w:pPr>
              <w:pStyle w:val="TableContents"/>
              <w:bidi w:val="0"/>
              <w:spacing w:before="0" w:after="283"/>
              <w:jc w:val="left"/>
              <w:rPr/>
            </w:pPr>
            <w:r>
              <w:rPr/>
            </w:r>
          </w:p>
        </w:tc>
        <w:tc>
          <w:tcPr>
            <w:tcW w:w="1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He Jian</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He Jian</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tm2622917d1_ex99-1.htm"/>
      <w:bookmarkStart w:id="19" w:name="kstm2622917d1_ex991"/>
      <w:bookmarkEnd w:id="18"/>
      <w:bookmarkEnd w:id="1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 -1(k) promulgated under the Securities Exchange Act of 1934, as amended, the undersigned hereby agree to the joint filing on behalf of each of them of a statement on Schedule 13D/A (including amendments thereto) with respect to the ordinary shares, par value $0.000067 per share of LightInTheBox Holding Co., Ltd., a company incorporated in the Cayman Islands,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August 11, 2026.</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1108"/>
        <w:gridCol w:w="1701"/>
        <w:gridCol w:w="75"/>
      </w:tblGrid>
      <w:tr>
        <w:trPr/>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Conner Growth Holding Limited</w:t>
            </w:r>
          </w:p>
        </w:tc>
        <w:tc>
          <w:tcPr>
            <w:tcW w:w="75" w:type="dxa"/>
            <w:tcBorders/>
            <w:vAlign w:val="center"/>
          </w:tcPr>
          <w:p>
            <w:pPr>
              <w:pStyle w:val="TableContents"/>
              <w:bidi w:val="0"/>
              <w:spacing w:before="0" w:after="283"/>
              <w:jc w:val="left"/>
              <w:rPr/>
            </w:pPr>
            <w:r>
              <w:rPr/>
              <w:t> </w:t>
            </w:r>
          </w:p>
        </w:tc>
      </w:tr>
      <w:tr>
        <w:trPr/>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He Jian</w:t>
            </w:r>
          </w:p>
        </w:tc>
        <w:tc>
          <w:tcPr>
            <w:tcW w:w="75"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Jian</w:t>
            </w:r>
          </w:p>
        </w:tc>
        <w:tc>
          <w:tcPr>
            <w:tcW w:w="75"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r>
        <w:trPr/>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 Jian</w:t>
            </w:r>
          </w:p>
        </w:tc>
        <w:tc>
          <w:tcPr>
            <w:tcW w:w="75" w:type="dxa"/>
            <w:tcBorders/>
            <w:vAlign w:val="center"/>
          </w:tcPr>
          <w:p>
            <w:pPr>
              <w:pStyle w:val="TableContents"/>
              <w:bidi w:val="0"/>
              <w:spacing w:before="0" w:after="283"/>
              <w:jc w:val="left"/>
              <w:rPr/>
            </w:pPr>
            <w:r>
              <w:rPr/>
              <w:t> </w:t>
            </w:r>
          </w:p>
        </w:tc>
      </w:tr>
      <w:tr>
        <w:trPr/>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He Jian</w:t>
            </w:r>
          </w:p>
        </w:tc>
        <w:tc>
          <w:tcPr>
            <w:tcW w:w="75"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Jian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1743</Words>
  <Characters>9036</Characters>
  <CharactersWithSpaces>10696</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